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E768" w14:textId="77777777" w:rsidR="00EE4920" w:rsidRPr="007628AF" w:rsidRDefault="00EE4920" w:rsidP="00D4728D">
      <w:pPr>
        <w:widowControl w:val="0"/>
        <w:autoSpaceDE w:val="0"/>
        <w:autoSpaceDN w:val="0"/>
        <w:spacing w:before="96" w:after="0" w:line="237" w:lineRule="auto"/>
        <w:ind w:right="66"/>
        <w:outlineLvl w:val="0"/>
        <w:rPr>
          <w:rFonts w:eastAsia="ITC Avant Garde Std Md" w:cstheme="minorHAnsi"/>
          <w:sz w:val="36"/>
          <w:szCs w:val="36"/>
          <w:lang w:val="fr-CA"/>
        </w:rPr>
      </w:pPr>
      <w:r w:rsidRPr="007628AF">
        <w:rPr>
          <w:rFonts w:eastAsia="ITC Avant Garde Std Md" w:cstheme="minorHAnsi"/>
          <w:color w:val="004E7D"/>
          <w:sz w:val="36"/>
          <w:szCs w:val="36"/>
          <w:lang w:val="fr-CA"/>
        </w:rPr>
        <w:t>Procédures liées au programme de retour au travail – Exemple</w:t>
      </w:r>
    </w:p>
    <w:p w14:paraId="45C85DD8" w14:textId="77777777" w:rsidR="00EE4920" w:rsidRPr="007628AF" w:rsidRDefault="00EE4920" w:rsidP="00D4728D">
      <w:pPr>
        <w:widowControl w:val="0"/>
        <w:autoSpaceDE w:val="0"/>
        <w:autoSpaceDN w:val="0"/>
        <w:spacing w:before="140" w:after="0" w:line="240" w:lineRule="auto"/>
        <w:ind w:right="66"/>
        <w:rPr>
          <w:rFonts w:ascii="Calibri" w:eastAsia="Rooney Light" w:hAnsi="Rooney Light" w:cs="Rooney Light"/>
          <w:sz w:val="36"/>
          <w:lang w:val="fr-CA"/>
        </w:rPr>
      </w:pPr>
      <w:r w:rsidRPr="007628AF">
        <w:rPr>
          <w:rFonts w:ascii="Calibri" w:eastAsia="Rooney Light" w:hAnsi="Calibri" w:cs="Rooney Light"/>
          <w:sz w:val="36"/>
          <w:lang w:val="fr-CA"/>
        </w:rPr>
        <w:t>PROCÉDURES LIÉES AU PROGRAMME DE RETOUR AU TRAVAIL</w:t>
      </w:r>
    </w:p>
    <w:p w14:paraId="32C4F1E0" w14:textId="4EA766BE" w:rsidR="00EE4920" w:rsidRPr="007628AF" w:rsidRDefault="00EE4920" w:rsidP="0083268E">
      <w:pPr>
        <w:widowControl w:val="0"/>
        <w:tabs>
          <w:tab w:val="left" w:pos="9270"/>
        </w:tabs>
        <w:autoSpaceDE w:val="0"/>
        <w:autoSpaceDN w:val="0"/>
        <w:spacing w:before="386" w:after="0" w:line="240" w:lineRule="auto"/>
        <w:ind w:right="66"/>
        <w:rPr>
          <w:rFonts w:ascii="Calibri" w:eastAsia="Rooney Light" w:hAnsi="Rooney Light" w:cs="Rooney Light"/>
          <w:sz w:val="32"/>
          <w:u w:val="thick" w:color="2E74B5" w:themeColor="accent1" w:themeShade="BF"/>
          <w:lang w:val="fr-CA"/>
        </w:rPr>
      </w:pPr>
      <w:r w:rsidRPr="007628AF">
        <w:rPr>
          <w:rFonts w:ascii="Calibri" w:eastAsia="Rooney Light" w:hAnsi="Calibri" w:cs="Rooney Light"/>
          <w:sz w:val="32"/>
          <w:u w:val="thick" w:color="2E74B5" w:themeColor="accent1" w:themeShade="BF"/>
          <w:lang w:val="fr-CA"/>
        </w:rPr>
        <w:t>PROCÉDURES – Liées au travail</w:t>
      </w:r>
      <w:r w:rsidR="0083268E">
        <w:rPr>
          <w:rFonts w:ascii="Calibri" w:eastAsia="Rooney Light" w:hAnsi="Calibri" w:cs="Rooney Light"/>
          <w:sz w:val="32"/>
          <w:u w:val="thick" w:color="2E74B5" w:themeColor="accent1" w:themeShade="BF"/>
          <w:lang w:val="fr-CA"/>
        </w:rPr>
        <w:tab/>
      </w:r>
    </w:p>
    <w:p w14:paraId="487FE003" w14:textId="77777777" w:rsidR="00EE4920" w:rsidRPr="007628AF" w:rsidRDefault="00EE4920" w:rsidP="00D4728D">
      <w:pPr>
        <w:pStyle w:val="ListParagraph"/>
        <w:widowControl w:val="0"/>
        <w:numPr>
          <w:ilvl w:val="0"/>
          <w:numId w:val="7"/>
        </w:numPr>
        <w:tabs>
          <w:tab w:val="left" w:pos="1530"/>
        </w:tabs>
        <w:autoSpaceDE w:val="0"/>
        <w:autoSpaceDN w:val="0"/>
        <w:spacing w:before="315" w:after="0" w:line="240" w:lineRule="auto"/>
        <w:ind w:left="360" w:right="66" w:hanging="360"/>
        <w:rPr>
          <w:rFonts w:ascii="Calibri" w:eastAsia="Rooney Light" w:hAnsi="Rooney Light" w:cs="Rooney Light"/>
          <w:b/>
          <w:lang w:val="fr-CA"/>
        </w:rPr>
      </w:pPr>
      <w:r w:rsidRPr="007628AF">
        <w:rPr>
          <w:rFonts w:ascii="Calibri" w:eastAsia="Rooney Light" w:hAnsi="Calibri" w:cs="Rooney Light"/>
          <w:b/>
          <w:bCs/>
          <w:lang w:val="fr-CA"/>
        </w:rPr>
        <w:t>Signalement d’un accident du travail ou d’une maladie liée au travail :</w:t>
      </w:r>
    </w:p>
    <w:p w14:paraId="6CC1B16C" w14:textId="77777777" w:rsidR="00EE4920" w:rsidRPr="007628AF" w:rsidRDefault="00EE4920" w:rsidP="00D4728D">
      <w:pPr>
        <w:widowControl w:val="0"/>
        <w:autoSpaceDE w:val="0"/>
        <w:autoSpaceDN w:val="0"/>
        <w:spacing w:before="8" w:after="0" w:line="240" w:lineRule="auto"/>
        <w:ind w:right="66"/>
        <w:rPr>
          <w:rFonts w:ascii="Calibri" w:eastAsia="Rooney Light" w:hAnsi="Rooney Light" w:cs="Rooney Light"/>
          <w:b/>
          <w:sz w:val="19"/>
          <w:szCs w:val="20"/>
          <w:lang w:val="fr-CA"/>
        </w:rPr>
      </w:pPr>
    </w:p>
    <w:p w14:paraId="5DC0705F" w14:textId="77777777" w:rsidR="00EE4920" w:rsidRPr="007628AF" w:rsidRDefault="00EE4920" w:rsidP="005A3DA4">
      <w:pPr>
        <w:widowControl w:val="0"/>
        <w:autoSpaceDE w:val="0"/>
        <w:autoSpaceDN w:val="0"/>
        <w:spacing w:after="0" w:line="273" w:lineRule="auto"/>
        <w:ind w:left="360" w:right="66"/>
        <w:rPr>
          <w:rFonts w:ascii="Calibri" w:eastAsia="Rooney Light" w:hAnsi="Rooney Light" w:cs="Rooney Light"/>
          <w:lang w:val="fr-CA"/>
        </w:rPr>
      </w:pPr>
      <w:r w:rsidRPr="007628AF">
        <w:rPr>
          <w:rFonts w:ascii="Calibri" w:eastAsia="Rooney Light" w:hAnsi="Calibri" w:cs="Rooney Light"/>
          <w:lang w:val="fr-CA"/>
        </w:rPr>
        <w:t>Les travailleurs signaleront immédiatement les blessures et les maladies (dès que raisonnablement possible et avant la fin de leur quart de travail) à leur superviseur/gestionnaire :</w:t>
      </w:r>
    </w:p>
    <w:p w14:paraId="3AA3DB55" w14:textId="77777777" w:rsidR="00EE4920" w:rsidRPr="007628AF" w:rsidRDefault="00EE4920" w:rsidP="00D4728D">
      <w:pPr>
        <w:widowControl w:val="0"/>
        <w:numPr>
          <w:ilvl w:val="1"/>
          <w:numId w:val="4"/>
        </w:numPr>
        <w:tabs>
          <w:tab w:val="left" w:pos="1910"/>
        </w:tabs>
        <w:autoSpaceDE w:val="0"/>
        <w:autoSpaceDN w:val="0"/>
        <w:spacing w:before="204" w:after="0" w:line="240" w:lineRule="auto"/>
        <w:ind w:left="720" w:right="66"/>
        <w:rPr>
          <w:rFonts w:ascii="Calibri" w:eastAsia="Rooney Light" w:hAnsi="Rooney Light" w:cs="Rooney Light"/>
          <w:lang w:val="fr-CA"/>
        </w:rPr>
      </w:pPr>
      <w:r w:rsidRPr="007628AF">
        <w:rPr>
          <w:rFonts w:ascii="Calibri" w:eastAsia="Rooney Light" w:hAnsi="Calibri" w:cs="Rooney Light"/>
          <w:lang w:val="fr-CA"/>
        </w:rPr>
        <w:t>tout incident qui cause une blessure</w:t>
      </w:r>
    </w:p>
    <w:p w14:paraId="3B221828" w14:textId="77777777" w:rsidR="00EE4920" w:rsidRPr="007628AF" w:rsidRDefault="00EE4920" w:rsidP="00D4728D">
      <w:pPr>
        <w:widowControl w:val="0"/>
        <w:numPr>
          <w:ilvl w:val="1"/>
          <w:numId w:val="4"/>
        </w:numPr>
        <w:tabs>
          <w:tab w:val="left" w:pos="1911"/>
        </w:tabs>
        <w:autoSpaceDE w:val="0"/>
        <w:autoSpaceDN w:val="0"/>
        <w:spacing w:before="39" w:after="0" w:line="278" w:lineRule="auto"/>
        <w:ind w:left="720" w:right="66"/>
        <w:rPr>
          <w:rFonts w:ascii="Calibri" w:eastAsia="Rooney Light" w:hAnsi="Rooney Light" w:cs="Rooney Light"/>
          <w:lang w:val="fr-CA"/>
        </w:rPr>
      </w:pPr>
      <w:r w:rsidRPr="007628AF">
        <w:rPr>
          <w:rFonts w:ascii="Calibri" w:eastAsia="Rooney Light" w:hAnsi="Calibri" w:cs="Rooney Light"/>
          <w:lang w:val="fr-CA"/>
        </w:rPr>
        <w:t>tout danger, incident ou événement qui n’a causé aucune blessure ou maladie, mais qui aurait pu causer une blessure (danger, accident évité de justesse).</w:t>
      </w:r>
    </w:p>
    <w:p w14:paraId="26058CED" w14:textId="77777777" w:rsidR="00EE4920" w:rsidRPr="007628AF" w:rsidRDefault="00EE4920" w:rsidP="005A3DA4">
      <w:pPr>
        <w:widowControl w:val="0"/>
        <w:autoSpaceDE w:val="0"/>
        <w:autoSpaceDN w:val="0"/>
        <w:spacing w:before="198" w:after="240" w:line="240" w:lineRule="auto"/>
        <w:ind w:right="72"/>
        <w:rPr>
          <w:rFonts w:ascii="Calibri" w:eastAsia="Rooney Light" w:hAnsi="Rooney Light" w:cs="Rooney Light"/>
          <w:lang w:val="fr-CA"/>
        </w:rPr>
      </w:pPr>
      <w:r w:rsidRPr="007628AF">
        <w:rPr>
          <w:rFonts w:ascii="Calibri" w:eastAsia="Rooney Light" w:hAnsi="Calibri" w:cs="Rooney Light"/>
          <w:lang w:val="fr-CA"/>
        </w:rPr>
        <w:t>Le signalement doit se faire en remplissant un rapport d’accident.</w:t>
      </w:r>
    </w:p>
    <w:p w14:paraId="0D03037F" w14:textId="77777777" w:rsidR="00EE4920" w:rsidRPr="007628AF" w:rsidRDefault="00EE4920" w:rsidP="00D4728D">
      <w:pPr>
        <w:widowControl w:val="0"/>
        <w:numPr>
          <w:ilvl w:val="0"/>
          <w:numId w:val="3"/>
        </w:numPr>
        <w:tabs>
          <w:tab w:val="left" w:pos="1911"/>
        </w:tabs>
        <w:autoSpaceDE w:val="0"/>
        <w:autoSpaceDN w:val="0"/>
        <w:spacing w:after="0" w:line="240" w:lineRule="auto"/>
        <w:ind w:left="720" w:right="66"/>
        <w:rPr>
          <w:rFonts w:ascii="Calibri" w:eastAsia="Rooney Light" w:hAnsi="Rooney Light" w:cs="Rooney Light"/>
          <w:lang w:val="fr-CA"/>
        </w:rPr>
      </w:pPr>
      <w:r w:rsidRPr="007628AF">
        <w:rPr>
          <w:rFonts w:ascii="Calibri" w:eastAsia="Rooney Light" w:hAnsi="Calibri" w:cs="Rooney Light"/>
          <w:lang w:val="fr-CA"/>
        </w:rPr>
        <w:t>Le rapport d’accident sera rempli avant de quitter la zone de travail.</w:t>
      </w:r>
    </w:p>
    <w:p w14:paraId="47A9DC21" w14:textId="77777777" w:rsidR="00EE4920" w:rsidRPr="007628AF" w:rsidRDefault="00EE4920" w:rsidP="00D4728D">
      <w:pPr>
        <w:widowControl w:val="0"/>
        <w:numPr>
          <w:ilvl w:val="0"/>
          <w:numId w:val="3"/>
        </w:numPr>
        <w:tabs>
          <w:tab w:val="left" w:pos="1911"/>
        </w:tabs>
        <w:autoSpaceDE w:val="0"/>
        <w:autoSpaceDN w:val="0"/>
        <w:spacing w:before="39" w:after="0" w:line="273" w:lineRule="auto"/>
        <w:ind w:left="720" w:right="66"/>
        <w:rPr>
          <w:rFonts w:ascii="Calibri" w:eastAsia="Rooney Light" w:hAnsi="Rooney Light" w:cs="Rooney Light"/>
          <w:lang w:val="fr-CA"/>
        </w:rPr>
      </w:pPr>
      <w:r w:rsidRPr="007628AF">
        <w:rPr>
          <w:rFonts w:ascii="Calibri" w:eastAsia="Rooney Light" w:hAnsi="Calibri" w:cs="Rooney Light"/>
          <w:lang w:val="fr-CA"/>
        </w:rPr>
        <w:t>Lorsque la blessure est grave et que le travailleur est incapable de remplir le rapport d’accident, un témoin de l’accident peut amorcer le rapport.</w:t>
      </w:r>
    </w:p>
    <w:p w14:paraId="5A6EB248" w14:textId="77777777" w:rsidR="00EE4920" w:rsidRPr="007628AF" w:rsidRDefault="00EE4920" w:rsidP="00D4728D">
      <w:pPr>
        <w:widowControl w:val="0"/>
        <w:numPr>
          <w:ilvl w:val="0"/>
          <w:numId w:val="3"/>
        </w:numPr>
        <w:tabs>
          <w:tab w:val="left" w:pos="1911"/>
        </w:tabs>
        <w:autoSpaceDE w:val="0"/>
        <w:autoSpaceDN w:val="0"/>
        <w:spacing w:before="7" w:after="0" w:line="240" w:lineRule="auto"/>
        <w:ind w:left="720" w:right="66"/>
        <w:rPr>
          <w:rFonts w:ascii="Calibri" w:eastAsia="Rooney Light" w:hAnsi="Rooney Light" w:cs="Rooney Light"/>
          <w:lang w:val="fr-CA"/>
        </w:rPr>
      </w:pPr>
      <w:r w:rsidRPr="007628AF">
        <w:rPr>
          <w:rFonts w:ascii="Calibri" w:eastAsia="Rooney Light" w:hAnsi="Calibri" w:cs="Rooney Light"/>
          <w:lang w:val="fr-CA"/>
        </w:rPr>
        <w:t>Le rapport d’accident sera remis au superviseur/gestionnaire.</w:t>
      </w:r>
    </w:p>
    <w:p w14:paraId="63BA5B41" w14:textId="77777777" w:rsidR="00EE4920" w:rsidRPr="007628AF" w:rsidRDefault="00EE4920" w:rsidP="00D4728D">
      <w:pPr>
        <w:widowControl w:val="0"/>
        <w:numPr>
          <w:ilvl w:val="0"/>
          <w:numId w:val="3"/>
        </w:numPr>
        <w:tabs>
          <w:tab w:val="left" w:pos="1911"/>
        </w:tabs>
        <w:autoSpaceDE w:val="0"/>
        <w:autoSpaceDN w:val="0"/>
        <w:spacing w:before="39" w:after="0" w:line="273" w:lineRule="auto"/>
        <w:ind w:left="720" w:right="66"/>
        <w:rPr>
          <w:rFonts w:ascii="Calibri" w:eastAsia="Rooney Light" w:hAnsi="Rooney Light" w:cs="Rooney Light"/>
          <w:lang w:val="fr-CA"/>
        </w:rPr>
      </w:pPr>
      <w:r w:rsidRPr="007628AF">
        <w:rPr>
          <w:rFonts w:ascii="Calibri" w:eastAsia="Rooney Light" w:hAnsi="Calibri" w:cs="Rooney Light"/>
          <w:lang w:val="fr-CA"/>
        </w:rPr>
        <w:t>Le superviseur/gestionnaire soumettra le rapport d’accident (et tout autre renseignement qu’il juge pertinent avec la réclamation liée à la blessure) au coordonnateur du retour au travail.</w:t>
      </w:r>
    </w:p>
    <w:p w14:paraId="7F4BCA6A" w14:textId="77777777" w:rsidR="00EE4920" w:rsidRPr="007628AF" w:rsidRDefault="00EE4920" w:rsidP="00D4728D">
      <w:pPr>
        <w:widowControl w:val="0"/>
        <w:numPr>
          <w:ilvl w:val="0"/>
          <w:numId w:val="3"/>
        </w:numPr>
        <w:tabs>
          <w:tab w:val="left" w:pos="1911"/>
        </w:tabs>
        <w:autoSpaceDE w:val="0"/>
        <w:autoSpaceDN w:val="0"/>
        <w:spacing w:before="7" w:after="0" w:line="273" w:lineRule="auto"/>
        <w:ind w:left="720" w:right="66"/>
        <w:rPr>
          <w:rFonts w:ascii="Calibri" w:eastAsia="Rooney Light" w:hAnsi="Rooney Light" w:cs="Rooney Light"/>
          <w:lang w:val="fr-CA"/>
        </w:rPr>
      </w:pPr>
      <w:r w:rsidRPr="007628AF">
        <w:rPr>
          <w:rFonts w:ascii="Calibri" w:eastAsia="Rooney Light" w:hAnsi="Calibri" w:cs="Rooney Light"/>
          <w:lang w:val="fr-CA"/>
        </w:rPr>
        <w:t>Le rapport d’accident sera conservé par le coordonnateur du retour au travail et une copie sera remise à un membre du comité de sécurité et de santé.</w:t>
      </w:r>
    </w:p>
    <w:p w14:paraId="19A143BD" w14:textId="77777777" w:rsidR="00EE4920" w:rsidRPr="007628AF" w:rsidRDefault="00EE4920" w:rsidP="00252DCC">
      <w:pPr>
        <w:widowControl w:val="0"/>
        <w:autoSpaceDE w:val="0"/>
        <w:autoSpaceDN w:val="0"/>
        <w:spacing w:before="204" w:after="0" w:line="276" w:lineRule="auto"/>
        <w:ind w:right="72"/>
        <w:rPr>
          <w:rFonts w:ascii="Calibri" w:eastAsia="Rooney Light" w:hAnsi="Rooney Light" w:cs="Rooney Light"/>
          <w:lang w:val="fr-CA"/>
        </w:rPr>
      </w:pPr>
      <w:r w:rsidRPr="007628AF">
        <w:rPr>
          <w:rFonts w:ascii="Calibri" w:eastAsia="Rooney Light" w:hAnsi="Calibri" w:cs="Rooney Light"/>
          <w:lang w:val="fr-CA"/>
        </w:rPr>
        <w:t>Le travailleur, l’employeur et le fournisseur de soins de santé sont responsables de remplir les rapports destinés à la WCB.</w:t>
      </w:r>
    </w:p>
    <w:p w14:paraId="5AB06D9E" w14:textId="77777777" w:rsidR="00EE4920" w:rsidRPr="007628AF" w:rsidRDefault="00EE4920" w:rsidP="00D4728D">
      <w:pPr>
        <w:widowControl w:val="0"/>
        <w:autoSpaceDE w:val="0"/>
        <w:autoSpaceDN w:val="0"/>
        <w:spacing w:before="8" w:after="0" w:line="240" w:lineRule="auto"/>
        <w:ind w:left="720" w:right="66" w:hanging="360"/>
        <w:rPr>
          <w:rFonts w:ascii="Calibri" w:eastAsia="Rooney Light" w:hAnsi="Rooney Light" w:cs="Rooney Light"/>
          <w:sz w:val="19"/>
          <w:szCs w:val="20"/>
          <w:lang w:val="fr-CA"/>
        </w:rPr>
      </w:pPr>
    </w:p>
    <w:p w14:paraId="3D6A3CEF" w14:textId="77777777" w:rsidR="00EE4920" w:rsidRPr="007628AF" w:rsidRDefault="00EE4920" w:rsidP="00D4728D">
      <w:pPr>
        <w:widowControl w:val="0"/>
        <w:numPr>
          <w:ilvl w:val="0"/>
          <w:numId w:val="2"/>
        </w:numPr>
        <w:tabs>
          <w:tab w:val="left" w:pos="1911"/>
        </w:tabs>
        <w:autoSpaceDE w:val="0"/>
        <w:autoSpaceDN w:val="0"/>
        <w:spacing w:after="0" w:line="276" w:lineRule="auto"/>
        <w:ind w:left="720" w:right="66" w:hanging="360"/>
        <w:rPr>
          <w:rFonts w:ascii="Calibri" w:eastAsia="Rooney Light" w:hAnsi="Calibri" w:cs="Rooney Light"/>
          <w:lang w:val="fr-CA"/>
        </w:rPr>
      </w:pPr>
      <w:r w:rsidRPr="007628AF">
        <w:rPr>
          <w:rFonts w:ascii="Calibri" w:eastAsia="Rooney Light" w:hAnsi="Calibri" w:cs="Rooney Light"/>
          <w:lang w:val="fr-CA"/>
        </w:rPr>
        <w:t>Le coordonnateur du retour au travail remplira le formulaire de rapport d’accident de l’employeur de la WCB. Ils cocheront « oui » dans la case indiquant que l’employeur peut offrir des mesures d’adaptation au travailleur au moyen de tâches modifiées ou de remplacement. Le formulaire sera transmis à la WCB dans les cinq jours ouvrables suivant le moment où l’employeur prend connaissance de la blessure et peut être rempli en ligne sur le site Web de la WCB.</w:t>
      </w:r>
    </w:p>
    <w:p w14:paraId="2FB0844D" w14:textId="3816FE37" w:rsidR="005A3DA4" w:rsidRDefault="00EE4920" w:rsidP="00D4728D">
      <w:pPr>
        <w:widowControl w:val="0"/>
        <w:numPr>
          <w:ilvl w:val="0"/>
          <w:numId w:val="2"/>
        </w:numPr>
        <w:tabs>
          <w:tab w:val="left" w:pos="1911"/>
        </w:tabs>
        <w:autoSpaceDE w:val="0"/>
        <w:autoSpaceDN w:val="0"/>
        <w:spacing w:after="0" w:line="278" w:lineRule="auto"/>
        <w:ind w:left="720" w:right="66" w:hanging="360"/>
        <w:rPr>
          <w:rFonts w:ascii="Calibri" w:eastAsia="Rooney Light" w:hAnsi="Calibri" w:cs="Rooney Light"/>
          <w:lang w:val="fr-CA"/>
        </w:rPr>
      </w:pPr>
      <w:r w:rsidRPr="007628AF">
        <w:rPr>
          <w:rFonts w:ascii="Calibri" w:eastAsia="Rooney Light" w:hAnsi="Calibri" w:cs="Rooney Light"/>
          <w:lang w:val="fr-CA"/>
        </w:rPr>
        <w:t>Le travailleur remplira le rapport d’incident du travailleur de la WCB et le soumettra à la WCB ou appellera la WCB pour signaler la blessure au travail.</w:t>
      </w:r>
    </w:p>
    <w:p w14:paraId="65234CF5" w14:textId="77777777" w:rsidR="005A3DA4" w:rsidRDefault="005A3DA4">
      <w:pPr>
        <w:rPr>
          <w:rFonts w:ascii="Calibri" w:eastAsia="Rooney Light" w:hAnsi="Calibri" w:cs="Rooney Light"/>
          <w:lang w:val="fr-CA"/>
        </w:rPr>
      </w:pPr>
      <w:r>
        <w:rPr>
          <w:rFonts w:ascii="Calibri" w:eastAsia="Rooney Light" w:hAnsi="Calibri" w:cs="Rooney Light"/>
          <w:lang w:val="fr-CA"/>
        </w:rPr>
        <w:br w:type="page"/>
      </w:r>
    </w:p>
    <w:p w14:paraId="4FE28273" w14:textId="77777777" w:rsidR="00EE4920" w:rsidRPr="007628AF" w:rsidRDefault="00EE4920" w:rsidP="00D4728D">
      <w:pPr>
        <w:pStyle w:val="ListParagraph"/>
        <w:widowControl w:val="0"/>
        <w:numPr>
          <w:ilvl w:val="0"/>
          <w:numId w:val="7"/>
        </w:numPr>
        <w:tabs>
          <w:tab w:val="left" w:pos="1530"/>
        </w:tabs>
        <w:autoSpaceDE w:val="0"/>
        <w:autoSpaceDN w:val="0"/>
        <w:spacing w:before="315" w:after="0" w:line="240" w:lineRule="auto"/>
        <w:ind w:left="360" w:right="66" w:hanging="360"/>
        <w:rPr>
          <w:rFonts w:ascii="Calibri" w:eastAsia="Rooney Light" w:hAnsi="Calibri" w:cs="Rooney Light"/>
          <w:b/>
          <w:bCs/>
          <w:lang w:val="fr-CA"/>
        </w:rPr>
      </w:pPr>
      <w:r w:rsidRPr="007628AF">
        <w:rPr>
          <w:rFonts w:ascii="Calibri" w:eastAsia="Rooney Light" w:hAnsi="Calibri" w:cs="Rooney Light"/>
          <w:b/>
          <w:bCs/>
          <w:lang w:val="fr-CA"/>
        </w:rPr>
        <w:lastRenderedPageBreak/>
        <w:t>Obtention de soins auprès d’un fournisseur de soins de santé :</w:t>
      </w:r>
    </w:p>
    <w:p w14:paraId="5FBCB2A4" w14:textId="77777777" w:rsidR="00EE4920" w:rsidRPr="007628AF" w:rsidRDefault="00EE4920" w:rsidP="005A3DA4">
      <w:pPr>
        <w:widowControl w:val="0"/>
        <w:autoSpaceDE w:val="0"/>
        <w:autoSpaceDN w:val="0"/>
        <w:spacing w:before="240" w:after="0" w:line="240" w:lineRule="auto"/>
        <w:ind w:left="360" w:right="72"/>
        <w:rPr>
          <w:rFonts w:ascii="Calibri" w:eastAsia="Rooney Light" w:hAnsi="Rooney Light" w:cs="Rooney Light"/>
          <w:lang w:val="fr-CA"/>
        </w:rPr>
      </w:pPr>
      <w:r w:rsidRPr="007628AF">
        <w:rPr>
          <w:rFonts w:ascii="Calibri" w:eastAsia="Rooney Light" w:hAnsi="Calibri" w:cs="Rooney Light"/>
          <w:lang w:val="fr-CA"/>
        </w:rPr>
        <w:t>Si le travailleur est incapable de terminer son quart de travail ou d’exécuter ses tâches habituelles :</w:t>
      </w:r>
    </w:p>
    <w:p w14:paraId="651E395C" w14:textId="77777777" w:rsidR="00EE4920" w:rsidRPr="007628AF" w:rsidRDefault="00EE4920" w:rsidP="00D4728D">
      <w:pPr>
        <w:widowControl w:val="0"/>
        <w:autoSpaceDE w:val="0"/>
        <w:autoSpaceDN w:val="0"/>
        <w:spacing w:before="9" w:after="0" w:line="240" w:lineRule="auto"/>
        <w:ind w:right="66"/>
        <w:rPr>
          <w:rFonts w:ascii="Calibri" w:eastAsia="Rooney Light" w:hAnsi="Rooney Light" w:cs="Rooney Light"/>
          <w:sz w:val="19"/>
          <w:szCs w:val="20"/>
          <w:lang w:val="fr-CA"/>
        </w:rPr>
      </w:pPr>
    </w:p>
    <w:p w14:paraId="538B5AF5" w14:textId="3D5B3A02" w:rsidR="00EE4920" w:rsidRPr="007628AF" w:rsidRDefault="00EE4920" w:rsidP="005A3DA4">
      <w:pPr>
        <w:widowControl w:val="0"/>
        <w:numPr>
          <w:ilvl w:val="0"/>
          <w:numId w:val="8"/>
        </w:numPr>
        <w:tabs>
          <w:tab w:val="left" w:pos="1548"/>
        </w:tabs>
        <w:autoSpaceDE w:val="0"/>
        <w:autoSpaceDN w:val="0"/>
        <w:spacing w:after="0" w:line="276" w:lineRule="auto"/>
        <w:ind w:left="720" w:right="72" w:hanging="360"/>
        <w:rPr>
          <w:rFonts w:ascii="Calibri" w:eastAsia="Rooney Light" w:hAnsi="Rooney Light" w:cs="Rooney Light"/>
          <w:lang w:val="fr-CA"/>
        </w:rPr>
      </w:pPr>
      <w:r w:rsidRPr="007628AF">
        <w:rPr>
          <w:rFonts w:ascii="Calibri" w:eastAsia="Rooney Light" w:hAnsi="Calibri" w:cs="Rooney Light"/>
          <w:lang w:val="fr-CA"/>
        </w:rPr>
        <w:t>Le travailleur obtiendra des soins médicaux immédiatement; toutefois, il avisera son superviseur/gestionnaire avant de le faire, dans la mesure du possible.</w:t>
      </w:r>
    </w:p>
    <w:p w14:paraId="242D4F5C" w14:textId="77777777" w:rsidR="00EE4920" w:rsidRPr="007628AF" w:rsidRDefault="00EE4920" w:rsidP="005A3DA4">
      <w:pPr>
        <w:widowControl w:val="0"/>
        <w:numPr>
          <w:ilvl w:val="0"/>
          <w:numId w:val="8"/>
        </w:numPr>
        <w:tabs>
          <w:tab w:val="left" w:pos="1548"/>
        </w:tabs>
        <w:autoSpaceDE w:val="0"/>
        <w:autoSpaceDN w:val="0"/>
        <w:spacing w:after="0" w:line="276" w:lineRule="auto"/>
        <w:ind w:left="720" w:right="72" w:hanging="360"/>
        <w:rPr>
          <w:rFonts w:ascii="Calibri" w:eastAsia="Rooney Light" w:hAnsi="Calibri" w:cs="Rooney Light"/>
          <w:lang w:val="fr-CA"/>
        </w:rPr>
      </w:pPr>
      <w:r w:rsidRPr="007628AF">
        <w:rPr>
          <w:rFonts w:ascii="Calibri" w:eastAsia="Rooney Light" w:hAnsi="Calibri" w:cs="Rooney Light"/>
          <w:lang w:val="fr-CA"/>
        </w:rPr>
        <w:t>Le superviseur/gestionnaire remettra au travailleur le dossier du travailleur blessé (physique ou cognitif – selon le cas) au moment où le travailleur signale une blessure. Au besoin, le travailleur et le superviseur/gestionnaire signeront le formulaire d’accusé de réception du dossier du travailleur blessé et le soumettront au coordonnateur du retour au travail.</w:t>
      </w:r>
    </w:p>
    <w:p w14:paraId="2ECE9436" w14:textId="77777777" w:rsidR="00EE4920" w:rsidRPr="007628AF" w:rsidRDefault="00EE4920" w:rsidP="005A3DA4">
      <w:pPr>
        <w:widowControl w:val="0"/>
        <w:numPr>
          <w:ilvl w:val="0"/>
          <w:numId w:val="8"/>
        </w:numPr>
        <w:tabs>
          <w:tab w:val="left" w:pos="1548"/>
          <w:tab w:val="left" w:pos="2041"/>
        </w:tabs>
        <w:autoSpaceDE w:val="0"/>
        <w:autoSpaceDN w:val="0"/>
        <w:spacing w:after="0" w:line="276" w:lineRule="auto"/>
        <w:ind w:left="720" w:right="72" w:hanging="360"/>
        <w:rPr>
          <w:rFonts w:ascii="Calibri" w:eastAsia="Rooney Light" w:hAnsi="Rooney Light" w:cs="Rooney Light"/>
          <w:lang w:val="fr-CA"/>
        </w:rPr>
      </w:pPr>
      <w:r w:rsidRPr="007628AF">
        <w:rPr>
          <w:rFonts w:ascii="Calibri" w:eastAsia="Rooney Light" w:hAnsi="Calibri" w:cs="Rooney Light"/>
          <w:lang w:val="fr-CA"/>
        </w:rPr>
        <w:t>Il est recommandé, selon les pratiques exemplaires, que le travailleur ait le dossier du travailleur blessé avant sa première visite auprès d’un fournisseur de soins de santé; toutefois, l’absence du dossier ne doit pas retarder l’accès aux traitements.</w:t>
      </w:r>
    </w:p>
    <w:p w14:paraId="46189BAE" w14:textId="77777777" w:rsidR="00EE4920" w:rsidRPr="007628AF" w:rsidRDefault="00EE4920" w:rsidP="005A3DA4">
      <w:pPr>
        <w:widowControl w:val="0"/>
        <w:numPr>
          <w:ilvl w:val="0"/>
          <w:numId w:val="8"/>
        </w:numPr>
        <w:tabs>
          <w:tab w:val="left" w:pos="1548"/>
          <w:tab w:val="left" w:pos="2041"/>
        </w:tabs>
        <w:autoSpaceDE w:val="0"/>
        <w:autoSpaceDN w:val="0"/>
        <w:spacing w:after="0" w:line="276" w:lineRule="auto"/>
        <w:ind w:left="720" w:right="72" w:hanging="360"/>
        <w:rPr>
          <w:rFonts w:ascii="Calibri" w:eastAsia="Rooney Light" w:hAnsi="Rooney Light" w:cs="Rooney Light"/>
          <w:lang w:val="fr-CA"/>
        </w:rPr>
      </w:pPr>
      <w:r w:rsidRPr="007628AF">
        <w:rPr>
          <w:rFonts w:ascii="Calibri" w:eastAsia="Rooney Light" w:hAnsi="Calibri" w:cs="Rooney Light"/>
          <w:color w:val="FF0000"/>
          <w:lang w:val="fr-CA"/>
        </w:rPr>
        <w:t xml:space="preserve">(Nom de l’organisation) </w:t>
      </w:r>
      <w:r w:rsidRPr="007628AF">
        <w:rPr>
          <w:rFonts w:ascii="Calibri" w:eastAsia="Rooney Light" w:hAnsi="Calibri" w:cs="Rooney Light"/>
          <w:lang w:val="fr-CA"/>
        </w:rPr>
        <w:t>organisera le transport du travailleur blessé ou fournira un conducteur autorisé au travailleur, si nécessaire. En cas de blessure grave, les services d’urgence seront contactés immédiatement afin d’obtenir de l’aide.</w:t>
      </w:r>
    </w:p>
    <w:p w14:paraId="391947AA" w14:textId="77777777" w:rsidR="00EE4920" w:rsidRPr="007628AF" w:rsidRDefault="00EE4920" w:rsidP="005A3DA4">
      <w:pPr>
        <w:widowControl w:val="0"/>
        <w:numPr>
          <w:ilvl w:val="0"/>
          <w:numId w:val="8"/>
        </w:numPr>
        <w:tabs>
          <w:tab w:val="left" w:pos="1548"/>
          <w:tab w:val="left" w:pos="2041"/>
        </w:tabs>
        <w:autoSpaceDE w:val="0"/>
        <w:autoSpaceDN w:val="0"/>
        <w:spacing w:after="0" w:line="276" w:lineRule="auto"/>
        <w:ind w:left="720" w:right="72" w:hanging="360"/>
        <w:rPr>
          <w:rFonts w:ascii="Calibri" w:eastAsia="Rooney Light" w:hAnsi="Rooney Light" w:cs="Rooney Light"/>
          <w:lang w:val="fr-CA"/>
        </w:rPr>
      </w:pPr>
      <w:r w:rsidRPr="007628AF">
        <w:rPr>
          <w:rFonts w:ascii="Calibri" w:eastAsia="Rooney Light" w:hAnsi="Calibri" w:cs="Rooney Light"/>
          <w:lang w:val="fr-CA"/>
        </w:rPr>
        <w:t>Lors de son évaluation initiale, le travailleur fournira au fournisseur de soins de santé le formulaire Détermination des capacités fonctionnelles (FCF) provenant du dossier du travailleur blessé afin qu’il soit rempli.</w:t>
      </w:r>
    </w:p>
    <w:p w14:paraId="19DF1C5A" w14:textId="758C82F9" w:rsidR="00EE4920" w:rsidRPr="007628AF" w:rsidRDefault="00EE4920" w:rsidP="005A3DA4">
      <w:pPr>
        <w:widowControl w:val="0"/>
        <w:numPr>
          <w:ilvl w:val="0"/>
          <w:numId w:val="8"/>
        </w:numPr>
        <w:tabs>
          <w:tab w:val="left" w:pos="1548"/>
          <w:tab w:val="left" w:pos="2040"/>
          <w:tab w:val="left" w:pos="2041"/>
        </w:tabs>
        <w:autoSpaceDE w:val="0"/>
        <w:autoSpaceDN w:val="0"/>
        <w:spacing w:before="6" w:after="0" w:line="276" w:lineRule="auto"/>
        <w:ind w:left="720" w:right="72" w:hanging="360"/>
        <w:rPr>
          <w:rFonts w:ascii="Calibri" w:eastAsia="Rooney Light" w:hAnsi="Rooney Light" w:cs="Rooney Light"/>
          <w:lang w:val="fr-CA"/>
        </w:rPr>
      </w:pPr>
      <w:r w:rsidRPr="007628AF">
        <w:rPr>
          <w:rFonts w:ascii="Calibri" w:eastAsia="Rooney Light" w:hAnsi="Calibri" w:cs="Rooney Light"/>
          <w:lang w:val="fr-CA"/>
        </w:rPr>
        <w:t xml:space="preserve">Si le fournisseur de soins de santé facture des frais pour remplir le FCF, le fournisseur peut facturer directement </w:t>
      </w:r>
      <w:r w:rsidRPr="007628AF">
        <w:rPr>
          <w:rFonts w:ascii="Calibri" w:eastAsia="Rooney Light" w:hAnsi="Calibri" w:cs="Rooney Light"/>
          <w:color w:val="FF0000"/>
          <w:lang w:val="fr-CA"/>
        </w:rPr>
        <w:t>(</w:t>
      </w:r>
      <w:r w:rsidR="0083268E">
        <w:rPr>
          <w:rFonts w:ascii="Calibri" w:eastAsia="Rooney Light" w:hAnsi="Calibri" w:cs="Rooney Light"/>
          <w:color w:val="FF0000"/>
          <w:lang w:val="fr-CA"/>
        </w:rPr>
        <w:t>n</w:t>
      </w:r>
      <w:r w:rsidR="0083268E" w:rsidRPr="007628AF">
        <w:rPr>
          <w:rFonts w:ascii="Calibri" w:eastAsia="Rooney Light" w:hAnsi="Calibri" w:cs="Rooney Light"/>
          <w:color w:val="FF0000"/>
          <w:lang w:val="fr-CA"/>
        </w:rPr>
        <w:t xml:space="preserve">om </w:t>
      </w:r>
      <w:r w:rsidRPr="007628AF">
        <w:rPr>
          <w:rFonts w:ascii="Calibri" w:eastAsia="Rooney Light" w:hAnsi="Calibri" w:cs="Rooney Light"/>
          <w:color w:val="FF0000"/>
          <w:lang w:val="fr-CA"/>
        </w:rPr>
        <w:t xml:space="preserve">de l’organisation) </w:t>
      </w:r>
      <w:r w:rsidRPr="007628AF">
        <w:rPr>
          <w:rFonts w:ascii="Calibri" w:eastAsia="Rooney Light" w:hAnsi="Calibri" w:cs="Rooney Light"/>
          <w:lang w:val="fr-CA"/>
        </w:rPr>
        <w:t>si des dispositions ont été prises pour ce service. Ou le travailleur peut payer ces frais et sera remboursé par l’employeur.</w:t>
      </w:r>
    </w:p>
    <w:p w14:paraId="44811F48" w14:textId="77777777" w:rsidR="00EE4920" w:rsidRPr="007628AF" w:rsidRDefault="00EE4920" w:rsidP="00D4728D">
      <w:pPr>
        <w:pStyle w:val="ListParagraph"/>
        <w:widowControl w:val="0"/>
        <w:numPr>
          <w:ilvl w:val="0"/>
          <w:numId w:val="7"/>
        </w:numPr>
        <w:tabs>
          <w:tab w:val="left" w:pos="1530"/>
        </w:tabs>
        <w:autoSpaceDE w:val="0"/>
        <w:autoSpaceDN w:val="0"/>
        <w:spacing w:before="315" w:after="0" w:line="240" w:lineRule="auto"/>
        <w:ind w:left="360" w:right="66" w:hanging="360"/>
        <w:rPr>
          <w:rFonts w:ascii="Calibri" w:eastAsia="Rooney Light" w:hAnsi="Calibri" w:cs="Rooney Light"/>
          <w:b/>
          <w:bCs/>
          <w:lang w:val="fr-CA"/>
        </w:rPr>
      </w:pPr>
      <w:r w:rsidRPr="007628AF">
        <w:rPr>
          <w:rFonts w:ascii="Calibri" w:eastAsia="Rooney Light" w:hAnsi="Calibri" w:cs="Rooney Light"/>
          <w:b/>
          <w:bCs/>
          <w:lang w:val="fr-CA"/>
        </w:rPr>
        <w:t>Remettre le formulaire Détermination des capacités fonctionnelles :</w:t>
      </w:r>
    </w:p>
    <w:p w14:paraId="373FCAC5" w14:textId="77777777" w:rsidR="00C01133" w:rsidRPr="007628AF" w:rsidRDefault="00C01133" w:rsidP="005A3DA4">
      <w:pPr>
        <w:spacing w:before="240" w:line="276" w:lineRule="auto"/>
        <w:ind w:left="360"/>
        <w:rPr>
          <w:rFonts w:ascii="Calibri"/>
          <w:lang w:val="fr-CA"/>
        </w:rPr>
      </w:pPr>
      <w:r w:rsidRPr="007628AF">
        <w:rPr>
          <w:rFonts w:ascii="Calibri" w:hAnsi="Calibri"/>
          <w:lang w:val="fr-CA"/>
        </w:rPr>
        <w:t xml:space="preserve">Le travailleur remettra le FCF rempli au superviseur/gestionnaire </w:t>
      </w:r>
      <w:r w:rsidRPr="007628AF">
        <w:rPr>
          <w:rFonts w:ascii="Calibri" w:hAnsi="Calibri"/>
          <w:color w:val="FF0000"/>
          <w:lang w:val="fr-CA"/>
        </w:rPr>
        <w:t>(insérer le délai précisé)</w:t>
      </w:r>
      <w:r w:rsidRPr="007628AF">
        <w:rPr>
          <w:rFonts w:ascii="Calibri" w:hAnsi="Calibri"/>
          <w:lang w:val="fr-CA"/>
        </w:rPr>
        <w:t xml:space="preserve">. Des tâches modifiées ou de remplacement sécuritaires et adaptées seront déterminées et un plan de retour au travail sera élaboré afin de commencer </w:t>
      </w:r>
      <w:r w:rsidRPr="007628AF">
        <w:rPr>
          <w:rFonts w:ascii="Calibri" w:hAnsi="Calibri"/>
          <w:color w:val="FF0000"/>
          <w:lang w:val="fr-CA"/>
        </w:rPr>
        <w:t>(insérer le délai précisé)</w:t>
      </w:r>
      <w:r w:rsidRPr="007628AF">
        <w:rPr>
          <w:rFonts w:ascii="Calibri" w:hAnsi="Calibri"/>
          <w:lang w:val="fr-CA"/>
        </w:rPr>
        <w:t>.</w:t>
      </w:r>
    </w:p>
    <w:p w14:paraId="2552B100" w14:textId="77777777" w:rsidR="00C01133" w:rsidRPr="007628AF" w:rsidRDefault="00C01133" w:rsidP="005A3DA4">
      <w:pPr>
        <w:widowControl w:val="0"/>
        <w:numPr>
          <w:ilvl w:val="0"/>
          <w:numId w:val="1"/>
        </w:numPr>
        <w:tabs>
          <w:tab w:val="left" w:pos="720"/>
        </w:tabs>
        <w:autoSpaceDE w:val="0"/>
        <w:autoSpaceDN w:val="0"/>
        <w:spacing w:before="202" w:after="0" w:line="276" w:lineRule="auto"/>
        <w:ind w:right="-90"/>
        <w:rPr>
          <w:rFonts w:ascii="Calibri"/>
          <w:lang w:val="fr-CA"/>
        </w:rPr>
      </w:pPr>
      <w:r w:rsidRPr="007628AF">
        <w:rPr>
          <w:rFonts w:ascii="Calibri" w:hAnsi="Calibri"/>
          <w:lang w:val="fr-CA"/>
        </w:rPr>
        <w:t xml:space="preserve">Dans le cas où il y a un retard pour obtenir des traitements médicaux et si le FCF n’est pas rempli </w:t>
      </w:r>
      <w:r w:rsidRPr="007628AF">
        <w:rPr>
          <w:rFonts w:ascii="Calibri" w:hAnsi="Calibri"/>
          <w:color w:val="FF0000"/>
          <w:lang w:val="fr-CA"/>
        </w:rPr>
        <w:t>(insérer le délai précisé)</w:t>
      </w:r>
      <w:r w:rsidRPr="007628AF">
        <w:rPr>
          <w:rFonts w:ascii="Calibri" w:hAnsi="Calibri"/>
          <w:lang w:val="fr-CA"/>
        </w:rPr>
        <w:t>, le travailleur se présentera en personne à son superviseur/gestionnaire, si cela est sécuritaire, lors de son prochain quart de travail prévu. Le superviseur/gestionnaire discutera des tâches modifiées ou de remplacement sécuritaires et adaptées en utilisant les directives relatives au travail modifié et de remplacement – capacités standard, jusqu’à ce qu’un FCF soit rempli. Si toutes les parties sont d’accord, le plan de retour au travail commencera. S’il y a des préoccupations de la part du superviseur/gestionnaire ou du travailleur, le travailleur devrait être dirigé vers le coordonnateur du retour au travail.</w:t>
      </w:r>
    </w:p>
    <w:p w14:paraId="705D00C6" w14:textId="43C93E2B" w:rsidR="000133E8" w:rsidRDefault="00C01133" w:rsidP="00C01133">
      <w:pPr>
        <w:widowControl w:val="0"/>
        <w:numPr>
          <w:ilvl w:val="0"/>
          <w:numId w:val="1"/>
        </w:numPr>
        <w:tabs>
          <w:tab w:val="left" w:pos="720"/>
        </w:tabs>
        <w:autoSpaceDE w:val="0"/>
        <w:autoSpaceDN w:val="0"/>
        <w:spacing w:after="0" w:line="276" w:lineRule="auto"/>
        <w:ind w:right="63"/>
        <w:jc w:val="both"/>
        <w:rPr>
          <w:rFonts w:ascii="Calibri" w:hAnsi="Calibri"/>
          <w:lang w:val="fr-CA"/>
        </w:rPr>
      </w:pPr>
      <w:r w:rsidRPr="007628AF">
        <w:rPr>
          <w:rFonts w:ascii="Calibri" w:hAnsi="Calibri"/>
          <w:lang w:val="fr-CA"/>
        </w:rPr>
        <w:t>Si le FCF, à la suite d’un incident lié au travail, indique une « invalidité totale », le coordonnateur du retour au travail soumettra la question à la WCB afin d’évaluer si le travailleur est apte à effectuer une forme de tâches modifiées ou de remplacement.</w:t>
      </w:r>
    </w:p>
    <w:p w14:paraId="1A62C5C6" w14:textId="77777777" w:rsidR="000133E8" w:rsidRDefault="000133E8">
      <w:pPr>
        <w:rPr>
          <w:rFonts w:ascii="Calibri" w:hAnsi="Calibri"/>
          <w:lang w:val="fr-CA"/>
        </w:rPr>
      </w:pPr>
      <w:r>
        <w:rPr>
          <w:rFonts w:ascii="Calibri" w:hAnsi="Calibri"/>
          <w:lang w:val="fr-CA"/>
        </w:rPr>
        <w:br w:type="page"/>
      </w:r>
    </w:p>
    <w:p w14:paraId="5465CD74" w14:textId="77777777" w:rsidR="00EE4920" w:rsidRPr="007628AF" w:rsidRDefault="00EE4920" w:rsidP="00D4728D">
      <w:pPr>
        <w:pStyle w:val="ListParagraph"/>
        <w:widowControl w:val="0"/>
        <w:numPr>
          <w:ilvl w:val="0"/>
          <w:numId w:val="7"/>
        </w:numPr>
        <w:tabs>
          <w:tab w:val="left" w:pos="1530"/>
        </w:tabs>
        <w:autoSpaceDE w:val="0"/>
        <w:autoSpaceDN w:val="0"/>
        <w:spacing w:before="315" w:after="0" w:line="240" w:lineRule="auto"/>
        <w:ind w:left="360" w:right="66" w:hanging="360"/>
        <w:rPr>
          <w:rFonts w:ascii="Calibri" w:eastAsia="Rooney Light" w:hAnsi="Calibri" w:cs="Rooney Light"/>
          <w:b/>
          <w:bCs/>
          <w:lang w:val="fr-CA"/>
        </w:rPr>
      </w:pPr>
      <w:r w:rsidRPr="007628AF">
        <w:rPr>
          <w:rFonts w:ascii="Calibri" w:eastAsia="Rooney Light" w:hAnsi="Calibri" w:cs="Rooney Light"/>
          <w:b/>
          <w:bCs/>
          <w:lang w:val="fr-CA"/>
        </w:rPr>
        <w:lastRenderedPageBreak/>
        <w:t>Communication avec le travailleur blessé</w:t>
      </w:r>
    </w:p>
    <w:p w14:paraId="5558A343" w14:textId="723FBB0B" w:rsidR="008E08D4" w:rsidRPr="007628AF" w:rsidRDefault="00EE4920" w:rsidP="007628AF">
      <w:pPr>
        <w:widowControl w:val="0"/>
        <w:autoSpaceDE w:val="0"/>
        <w:autoSpaceDN w:val="0"/>
        <w:spacing w:before="240" w:after="0" w:line="276" w:lineRule="auto"/>
        <w:ind w:left="360" w:right="72"/>
        <w:rPr>
          <w:rFonts w:ascii="Calibri" w:eastAsia="Rooney Light" w:hAnsi="Calibri" w:cs="Rooney Light"/>
          <w:lang w:val="fr-CA"/>
        </w:rPr>
      </w:pPr>
      <w:r w:rsidRPr="007628AF">
        <w:rPr>
          <w:rFonts w:ascii="Calibri" w:eastAsia="Rooney Light" w:hAnsi="Calibri" w:cs="Rooney Light"/>
          <w:lang w:val="fr-CA"/>
        </w:rPr>
        <w:t xml:space="preserve">Les superviseurs aviseront le coordonnateur du retour au travail lorsqu’un travailleur est absent du lieu de travail. Le coordonnateur du retour au travail établira un contact précoce avec le travailleur blessé </w:t>
      </w:r>
      <w:r w:rsidRPr="007628AF">
        <w:rPr>
          <w:rFonts w:ascii="Calibri" w:eastAsia="Rooney Light" w:hAnsi="Calibri" w:cs="Rooney Light"/>
          <w:color w:val="FF0000"/>
          <w:lang w:val="fr-CA"/>
        </w:rPr>
        <w:t>(insérer le délai précisé)</w:t>
      </w:r>
      <w:r w:rsidRPr="007628AF">
        <w:rPr>
          <w:rFonts w:ascii="Calibri" w:eastAsia="Rooney Light" w:hAnsi="Calibri" w:cs="Rooney Light"/>
          <w:lang w:val="fr-CA"/>
        </w:rPr>
        <w:t>.</w:t>
      </w:r>
    </w:p>
    <w:p w14:paraId="6ACC271E" w14:textId="77777777" w:rsidR="00EE4920" w:rsidRPr="007628AF" w:rsidRDefault="00EE4920" w:rsidP="00D4728D">
      <w:pPr>
        <w:pStyle w:val="ListParagraph"/>
        <w:widowControl w:val="0"/>
        <w:numPr>
          <w:ilvl w:val="0"/>
          <w:numId w:val="7"/>
        </w:numPr>
        <w:tabs>
          <w:tab w:val="left" w:pos="1530"/>
        </w:tabs>
        <w:autoSpaceDE w:val="0"/>
        <w:autoSpaceDN w:val="0"/>
        <w:spacing w:before="315" w:after="0" w:line="240" w:lineRule="auto"/>
        <w:ind w:left="360" w:right="66" w:hanging="360"/>
        <w:rPr>
          <w:rFonts w:ascii="Calibri" w:eastAsia="Rooney Light" w:hAnsi="Calibri" w:cs="Rooney Light"/>
          <w:b/>
          <w:bCs/>
          <w:lang w:val="fr-CA"/>
        </w:rPr>
      </w:pPr>
      <w:r w:rsidRPr="007628AF">
        <w:rPr>
          <w:rFonts w:ascii="Calibri" w:eastAsia="Rooney Light" w:hAnsi="Calibri" w:cs="Rooney Light"/>
          <w:b/>
          <w:bCs/>
          <w:lang w:val="fr-CA"/>
        </w:rPr>
        <w:t>Mise en œuvre et suivi du plan de retour au travail :</w:t>
      </w:r>
    </w:p>
    <w:p w14:paraId="34810306" w14:textId="77777777" w:rsidR="00EE4920" w:rsidRPr="007628AF" w:rsidRDefault="00EE4920" w:rsidP="000133E8">
      <w:pPr>
        <w:widowControl w:val="0"/>
        <w:numPr>
          <w:ilvl w:val="0"/>
          <w:numId w:val="9"/>
        </w:numPr>
        <w:tabs>
          <w:tab w:val="left" w:pos="2040"/>
        </w:tabs>
        <w:autoSpaceDE w:val="0"/>
        <w:autoSpaceDN w:val="0"/>
        <w:spacing w:before="240"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 travailleur sera informé qu’il a la possibilité d’inviter un représentant syndical à participer à la planification du retour au travail. La participation peut se faire en personne, par téléphone ou par d’autres moyens de communication virtuelle afin de réduire les retards inutiles.</w:t>
      </w:r>
    </w:p>
    <w:p w14:paraId="7D310414" w14:textId="7D19B2EE" w:rsidR="00EE4920" w:rsidRPr="007628AF" w:rsidRDefault="00EE4920" w:rsidP="000133E8">
      <w:pPr>
        <w:widowControl w:val="0"/>
        <w:numPr>
          <w:ilvl w:val="0"/>
          <w:numId w:val="9"/>
        </w:numPr>
        <w:tabs>
          <w:tab w:val="left" w:pos="2039"/>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En fonction des capacités indiquées sur le FCF, par la WCB, ou selon les directives relatives au travail modifié et de remplacement – capacités standard, si cela est sécuritaire et adapté, le superviseur/gestionnaire, avec la</w:t>
      </w:r>
      <w:r w:rsidR="00014628" w:rsidRPr="007628AF">
        <w:rPr>
          <w:rFonts w:ascii="Calibri" w:eastAsia="Rooney Light" w:hAnsi="Rooney Light" w:cs="Rooney Light"/>
          <w:lang w:val="fr-CA"/>
        </w:rPr>
        <w:t xml:space="preserve"> </w:t>
      </w:r>
      <w:r w:rsidRPr="007628AF">
        <w:rPr>
          <w:rFonts w:ascii="Calibri" w:eastAsia="Rooney Light" w:hAnsi="Calibri" w:cs="Rooney Light"/>
          <w:lang w:val="fr-CA"/>
        </w:rPr>
        <w:t>participation du travailleur, du coordonnateur du retour au travail et du syndicat, au besoin, assignera des tâches appropriées et les consignera dans l’offre et le plan de retour au travail.</w:t>
      </w:r>
    </w:p>
    <w:p w14:paraId="5C76818E" w14:textId="77777777" w:rsidR="00EE4920" w:rsidRPr="007628AF" w:rsidRDefault="00EE4920" w:rsidP="000133E8">
      <w:pPr>
        <w:widowControl w:val="0"/>
        <w:numPr>
          <w:ilvl w:val="0"/>
          <w:numId w:val="9"/>
        </w:numPr>
        <w:tabs>
          <w:tab w:val="left" w:pos="2046"/>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Une copie du plan de retour au travail sera remise au travailleur, au superviseur/gestionnaire, au coordonnateur du retour au travail, au syndicat (le cas échéant) et à la WCB.</w:t>
      </w:r>
    </w:p>
    <w:p w14:paraId="4954FC07" w14:textId="77777777" w:rsidR="00EE4920" w:rsidRPr="007628AF" w:rsidRDefault="00EE4920" w:rsidP="000133E8">
      <w:pPr>
        <w:widowControl w:val="0"/>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 travailleur peut choisir de conserver une copie du plan de retour au travail avec lui pendant qu’il exécute des tâches modifiées ou de remplacement. Cela peut servir de référence pour d’autres superviseurs/gestionnaires ou collègues concernant les tâches qui lui sont assignées.</w:t>
      </w:r>
    </w:p>
    <w:p w14:paraId="5C557168" w14:textId="356161AA" w:rsidR="00EE4920" w:rsidRPr="007628AF" w:rsidRDefault="00EE4920" w:rsidP="000133E8">
      <w:pPr>
        <w:widowControl w:val="0"/>
        <w:numPr>
          <w:ilvl w:val="0"/>
          <w:numId w:val="9"/>
        </w:numPr>
        <w:tabs>
          <w:tab w:val="left" w:pos="2045"/>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 xml:space="preserve">Les mesures d’adaptation de retour au travail commenceront </w:t>
      </w:r>
      <w:r w:rsidRPr="007628AF">
        <w:rPr>
          <w:rFonts w:ascii="Calibri" w:eastAsia="Rooney Light" w:hAnsi="Calibri" w:cs="Rooney Light"/>
          <w:color w:val="FF0000"/>
          <w:lang w:val="fr-CA"/>
        </w:rPr>
        <w:t xml:space="preserve">(indiquer le délai) </w:t>
      </w:r>
      <w:r w:rsidRPr="007628AF">
        <w:rPr>
          <w:rFonts w:ascii="Calibri" w:eastAsia="Rooney Light" w:hAnsi="Calibri" w:cs="Rooney Light"/>
          <w:lang w:val="fr-CA"/>
        </w:rPr>
        <w:t xml:space="preserve">et feront l’objet d’un suivi par le superviseur/gestionnaire et le coordonnateur du retour au travail </w:t>
      </w:r>
      <w:r w:rsidR="008E08D4" w:rsidRPr="007628AF">
        <w:rPr>
          <w:rFonts w:ascii="Calibri" w:eastAsia="Rooney Light" w:hAnsi="Calibri" w:cs="Rooney Light"/>
          <w:lang w:val="fr-CA"/>
        </w:rPr>
        <w:br/>
      </w:r>
      <w:r w:rsidRPr="007628AF">
        <w:rPr>
          <w:rFonts w:ascii="Calibri" w:eastAsia="Rooney Light" w:hAnsi="Calibri" w:cs="Rooney Light"/>
          <w:lang w:val="fr-CA"/>
        </w:rPr>
        <w:t>(au besoin).</w:t>
      </w:r>
    </w:p>
    <w:p w14:paraId="54EC8CF4" w14:textId="77777777" w:rsidR="00EE4920" w:rsidRPr="007628AF" w:rsidRDefault="00EE4920" w:rsidP="000133E8">
      <w:pPr>
        <w:widowControl w:val="0"/>
        <w:numPr>
          <w:ilvl w:val="0"/>
          <w:numId w:val="9"/>
        </w:numPr>
        <w:tabs>
          <w:tab w:val="left" w:pos="2045"/>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 coordonnateur du retour au travail avisera la WCB de la date de début du plan de retour au travail.</w:t>
      </w:r>
    </w:p>
    <w:p w14:paraId="11E8553E" w14:textId="77777777" w:rsidR="00EE4920" w:rsidRPr="007628AF" w:rsidRDefault="00EE4920" w:rsidP="000133E8">
      <w:pPr>
        <w:widowControl w:val="0"/>
        <w:numPr>
          <w:ilvl w:val="0"/>
          <w:numId w:val="9"/>
        </w:numPr>
        <w:tabs>
          <w:tab w:val="left" w:pos="2043"/>
          <w:tab w:val="left" w:pos="2045"/>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 travailleur avisera immédiatement le superviseur/gestionnaire, ou le coordonnateur du retour au travail, de toute préoccupation concernant son plan de retour au travail. En tout temps, le travailleur ou l’employeur peut communiquer avec la WCB pour obtenir de l’aide.</w:t>
      </w:r>
    </w:p>
    <w:p w14:paraId="191AF4E2" w14:textId="77777777" w:rsidR="00EE4920" w:rsidRPr="007628AF" w:rsidRDefault="00EE4920" w:rsidP="000133E8">
      <w:pPr>
        <w:widowControl w:val="0"/>
        <w:numPr>
          <w:ilvl w:val="0"/>
          <w:numId w:val="9"/>
        </w:numPr>
        <w:tabs>
          <w:tab w:val="left" w:pos="2044"/>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 superviseur/gestionnaire avisera immédiatement le coordonnateur du retour au travail de toute préoccupation concernant le plan de retour au travail.</w:t>
      </w:r>
    </w:p>
    <w:p w14:paraId="3A312EE9" w14:textId="77777777" w:rsidR="00EE4920" w:rsidRPr="007628AF" w:rsidRDefault="00EE4920" w:rsidP="000133E8">
      <w:pPr>
        <w:widowControl w:val="0"/>
        <w:numPr>
          <w:ilvl w:val="0"/>
          <w:numId w:val="9"/>
        </w:numPr>
        <w:tabs>
          <w:tab w:val="left" w:pos="2045"/>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Les travailleurs qui estiment que leur plan de retour au travail nécessite une réévaluation avant le prochain rendez-vous médical aviseront immédiatement leur superviseur/gestionnaire et le coordonnateur du retour au travail.</w:t>
      </w:r>
    </w:p>
    <w:p w14:paraId="0BE16BF3" w14:textId="77777777" w:rsidR="00EE4920" w:rsidRPr="007628AF" w:rsidRDefault="00EE4920" w:rsidP="000133E8">
      <w:pPr>
        <w:widowControl w:val="0"/>
        <w:numPr>
          <w:ilvl w:val="0"/>
          <w:numId w:val="9"/>
        </w:numPr>
        <w:tabs>
          <w:tab w:val="left" w:pos="2043"/>
          <w:tab w:val="left" w:pos="2044"/>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Le travailleur et le superviseur/gestionnaire consigneront toute préoccupation ou tout progrès dans le journal de retour au travail.</w:t>
      </w:r>
    </w:p>
    <w:p w14:paraId="61F711CE" w14:textId="77777777" w:rsidR="00EE4920" w:rsidRPr="007628AF" w:rsidRDefault="00EE4920" w:rsidP="000133E8">
      <w:pPr>
        <w:widowControl w:val="0"/>
        <w:numPr>
          <w:ilvl w:val="0"/>
          <w:numId w:val="9"/>
        </w:numPr>
        <w:tabs>
          <w:tab w:val="left" w:pos="2043"/>
          <w:tab w:val="left" w:pos="2044"/>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 xml:space="preserve">Jusqu’à la fin du plan de retour au travail, les travailleurs feront l’objet de réévaluations régulières </w:t>
      </w:r>
      <w:r w:rsidRPr="007628AF">
        <w:rPr>
          <w:rFonts w:ascii="Calibri" w:eastAsia="Rooney Light" w:hAnsi="Calibri" w:cs="Rooney Light"/>
          <w:color w:val="FF0000"/>
          <w:lang w:val="fr-CA"/>
        </w:rPr>
        <w:t xml:space="preserve">(indiquer la fréquence) </w:t>
      </w:r>
      <w:r w:rsidRPr="007628AF">
        <w:rPr>
          <w:rFonts w:ascii="Calibri" w:eastAsia="Rooney Light" w:hAnsi="Calibri" w:cs="Rooney Light"/>
          <w:lang w:val="fr-CA"/>
        </w:rPr>
        <w:t>par leur fournisseur de soins de santé.</w:t>
      </w:r>
    </w:p>
    <w:p w14:paraId="5E730571" w14:textId="77777777" w:rsidR="00EE4920" w:rsidRPr="007628AF" w:rsidRDefault="00EE4920" w:rsidP="000133E8">
      <w:pPr>
        <w:widowControl w:val="0"/>
        <w:numPr>
          <w:ilvl w:val="0"/>
          <w:numId w:val="9"/>
        </w:numPr>
        <w:tabs>
          <w:tab w:val="left" w:pos="2043"/>
        </w:tabs>
        <w:autoSpaceDE w:val="0"/>
        <w:autoSpaceDN w:val="0"/>
        <w:spacing w:after="0" w:line="276" w:lineRule="auto"/>
        <w:ind w:left="720" w:right="72"/>
        <w:rPr>
          <w:rFonts w:ascii="Calibri" w:eastAsia="Rooney Light" w:hAnsi="Rooney Light" w:cs="Rooney Light"/>
          <w:lang w:val="fr-CA"/>
        </w:rPr>
      </w:pPr>
      <w:r w:rsidRPr="007628AF">
        <w:rPr>
          <w:rFonts w:ascii="Calibri" w:eastAsia="Rooney Light" w:hAnsi="Calibri" w:cs="Rooney Light"/>
          <w:lang w:val="fr-CA"/>
        </w:rPr>
        <w:t>À la suite de chaque évaluation des soins de santé, le superviseur/gestionnaire et le travailleur se rencontreront afin d’examiner les capacités mises à jour et d’ajuster le plan de retour au travail en conséquence. (Le coordonnateur du retour au travail, le syndicat et la WCB seront inclus au besoin.)</w:t>
      </w:r>
    </w:p>
    <w:p w14:paraId="7DA4B8AF" w14:textId="77777777" w:rsidR="00EE4920" w:rsidRPr="007628AF" w:rsidRDefault="00EE4920" w:rsidP="008E08D4">
      <w:pPr>
        <w:widowControl w:val="0"/>
        <w:numPr>
          <w:ilvl w:val="0"/>
          <w:numId w:val="9"/>
        </w:numPr>
        <w:tabs>
          <w:tab w:val="left" w:pos="2042"/>
          <w:tab w:val="left" w:pos="2043"/>
        </w:tabs>
        <w:autoSpaceDE w:val="0"/>
        <w:autoSpaceDN w:val="0"/>
        <w:spacing w:before="8" w:after="0" w:line="240" w:lineRule="auto"/>
        <w:ind w:left="720" w:right="66"/>
        <w:rPr>
          <w:rFonts w:ascii="Calibri" w:eastAsia="Rooney Light" w:hAnsi="Rooney Light" w:cs="Rooney Light"/>
          <w:lang w:val="fr-CA"/>
        </w:rPr>
      </w:pPr>
      <w:r w:rsidRPr="007628AF">
        <w:rPr>
          <w:rFonts w:ascii="Calibri" w:eastAsia="Rooney Light" w:hAnsi="Calibri" w:cs="Rooney Light"/>
          <w:lang w:val="fr-CA"/>
        </w:rPr>
        <w:lastRenderedPageBreak/>
        <w:t>L’autorisation médicale de reprise des tâches complètes sera fournie avant la reprise des tâches complètes.</w:t>
      </w:r>
    </w:p>
    <w:p w14:paraId="334DFC59" w14:textId="77777777" w:rsidR="00EE4920" w:rsidRPr="007628AF" w:rsidRDefault="00EE4920" w:rsidP="008E08D4">
      <w:pPr>
        <w:widowControl w:val="0"/>
        <w:numPr>
          <w:ilvl w:val="0"/>
          <w:numId w:val="9"/>
        </w:numPr>
        <w:tabs>
          <w:tab w:val="left" w:pos="2043"/>
        </w:tabs>
        <w:autoSpaceDE w:val="0"/>
        <w:autoSpaceDN w:val="0"/>
        <w:spacing w:before="39" w:after="0" w:line="273" w:lineRule="auto"/>
        <w:ind w:left="720" w:right="66"/>
        <w:rPr>
          <w:rFonts w:ascii="Calibri" w:eastAsia="Rooney Light" w:hAnsi="Rooney Light" w:cs="Rooney Light"/>
          <w:lang w:val="fr-CA"/>
        </w:rPr>
      </w:pPr>
      <w:r w:rsidRPr="007628AF">
        <w:rPr>
          <w:rFonts w:ascii="Calibri" w:eastAsia="Rooney Light" w:hAnsi="Calibri" w:cs="Rooney Light"/>
          <w:lang w:val="fr-CA"/>
        </w:rPr>
        <w:t>Le coordonnateur du retour au travail avisera la WCB de la date à laquelle le plan de retour au travail est terminé et que le travailleur reprend ses tâches régulières.</w:t>
      </w:r>
    </w:p>
    <w:p w14:paraId="35120043" w14:textId="77777777" w:rsidR="00EE4920" w:rsidRPr="007628AF" w:rsidRDefault="00EE4920" w:rsidP="000133E8">
      <w:pPr>
        <w:pStyle w:val="ListParagraph"/>
        <w:widowControl w:val="0"/>
        <w:numPr>
          <w:ilvl w:val="0"/>
          <w:numId w:val="7"/>
        </w:numPr>
        <w:tabs>
          <w:tab w:val="left" w:pos="1530"/>
        </w:tabs>
        <w:autoSpaceDE w:val="0"/>
        <w:autoSpaceDN w:val="0"/>
        <w:spacing w:before="315" w:after="240" w:line="240" w:lineRule="auto"/>
        <w:ind w:left="446" w:right="72" w:hanging="360"/>
        <w:rPr>
          <w:rFonts w:ascii="Calibri" w:eastAsia="Rooney Light" w:hAnsi="Calibri" w:cs="Rooney Light"/>
          <w:b/>
          <w:bCs/>
          <w:lang w:val="fr-CA"/>
        </w:rPr>
      </w:pPr>
      <w:r w:rsidRPr="007628AF">
        <w:rPr>
          <w:rFonts w:ascii="Calibri" w:eastAsia="Rooney Light" w:hAnsi="Calibri" w:cs="Rooney Light"/>
          <w:b/>
          <w:bCs/>
          <w:lang w:val="fr-CA"/>
        </w:rPr>
        <w:t>Lorsqu’on offre des mesures d’adaptation aux travailleurs, la hiérarchie suivante de mesures d’adaptation sera appliquée :</w:t>
      </w:r>
    </w:p>
    <w:p w14:paraId="0EA0DC64" w14:textId="77777777" w:rsidR="00EE4920" w:rsidRPr="007628AF" w:rsidRDefault="00EE4920" w:rsidP="000133E8">
      <w:pPr>
        <w:widowControl w:val="0"/>
        <w:numPr>
          <w:ilvl w:val="0"/>
          <w:numId w:val="10"/>
        </w:numPr>
        <w:tabs>
          <w:tab w:val="left" w:pos="2043"/>
        </w:tabs>
        <w:autoSpaceDE w:val="0"/>
        <w:autoSpaceDN w:val="0"/>
        <w:spacing w:before="39" w:after="0" w:line="276" w:lineRule="auto"/>
        <w:ind w:left="810" w:right="72"/>
        <w:rPr>
          <w:rFonts w:ascii="Calibri" w:eastAsia="Rooney Light" w:hAnsi="Rooney Light" w:cs="Rooney Light"/>
          <w:lang w:val="fr-CA"/>
        </w:rPr>
      </w:pPr>
      <w:r w:rsidRPr="007628AF">
        <w:rPr>
          <w:rFonts w:ascii="Calibri" w:eastAsia="Rooney Light" w:hAnsi="Calibri" w:cs="Rooney Light"/>
          <w:lang w:val="fr-CA"/>
        </w:rPr>
        <w:t>le retour au même emploi auprès de l’employeur chez lequel s’est produit l’accident;</w:t>
      </w:r>
    </w:p>
    <w:p w14:paraId="4C3397D5" w14:textId="77777777" w:rsidR="00EE4920" w:rsidRPr="007628AF" w:rsidRDefault="00EE4920" w:rsidP="000133E8">
      <w:pPr>
        <w:widowControl w:val="0"/>
        <w:numPr>
          <w:ilvl w:val="0"/>
          <w:numId w:val="10"/>
        </w:numPr>
        <w:tabs>
          <w:tab w:val="left" w:pos="2043"/>
        </w:tabs>
        <w:autoSpaceDE w:val="0"/>
        <w:autoSpaceDN w:val="0"/>
        <w:spacing w:before="43" w:after="0" w:line="276" w:lineRule="auto"/>
        <w:ind w:left="810" w:right="72"/>
        <w:rPr>
          <w:rFonts w:ascii="Calibri" w:eastAsia="Rooney Light" w:hAnsi="Rooney Light" w:cs="Rooney Light"/>
          <w:lang w:val="fr-CA"/>
        </w:rPr>
      </w:pPr>
      <w:r w:rsidRPr="007628AF">
        <w:rPr>
          <w:rFonts w:ascii="Calibri" w:eastAsia="Rooney Light" w:hAnsi="Calibri" w:cs="Rooney Light"/>
          <w:lang w:val="fr-CA"/>
        </w:rPr>
        <w:t>le retour à un travail modifié auprès de l’employeur chez lequel s’est produit l’accident;</w:t>
      </w:r>
    </w:p>
    <w:p w14:paraId="7254A65C" w14:textId="77777777" w:rsidR="00EE4920" w:rsidRPr="007628AF" w:rsidRDefault="00EE4920" w:rsidP="000133E8">
      <w:pPr>
        <w:widowControl w:val="0"/>
        <w:numPr>
          <w:ilvl w:val="0"/>
          <w:numId w:val="10"/>
        </w:numPr>
        <w:tabs>
          <w:tab w:val="left" w:pos="2043"/>
        </w:tabs>
        <w:autoSpaceDE w:val="0"/>
        <w:autoSpaceDN w:val="0"/>
        <w:spacing w:before="39" w:after="0" w:line="276" w:lineRule="auto"/>
        <w:ind w:left="810" w:right="72"/>
        <w:rPr>
          <w:rFonts w:ascii="Calibri" w:eastAsia="Rooney Light" w:hAnsi="Rooney Light" w:cs="Rooney Light"/>
          <w:lang w:val="fr-CA"/>
        </w:rPr>
      </w:pPr>
      <w:r w:rsidRPr="007628AF">
        <w:rPr>
          <w:rFonts w:ascii="Calibri" w:eastAsia="Rooney Light" w:hAnsi="Calibri" w:cs="Rooney Light"/>
          <w:lang w:val="fr-CA"/>
        </w:rPr>
        <w:t>le retour à un travail différent (travail de remplacement) auprès de l’employeur chez lequel s’est produit l’accident.</w:t>
      </w:r>
    </w:p>
    <w:p w14:paraId="08E59BE1" w14:textId="77777777" w:rsidR="00EE4920" w:rsidRPr="007628AF" w:rsidRDefault="00EE4920" w:rsidP="000133E8">
      <w:pPr>
        <w:widowControl w:val="0"/>
        <w:autoSpaceDE w:val="0"/>
        <w:autoSpaceDN w:val="0"/>
        <w:spacing w:before="240" w:after="0" w:line="276" w:lineRule="auto"/>
        <w:ind w:left="360" w:right="72"/>
        <w:rPr>
          <w:rFonts w:ascii="Calibri" w:eastAsia="Rooney Light" w:hAnsi="Calibri" w:cs="Rooney Light"/>
          <w:lang w:val="fr-CA"/>
        </w:rPr>
      </w:pPr>
      <w:r w:rsidRPr="007628AF">
        <w:rPr>
          <w:rFonts w:ascii="Calibri" w:eastAsia="Rooney Light" w:hAnsi="Calibri" w:cs="Rooney Light"/>
          <w:lang w:val="fr-CA"/>
        </w:rPr>
        <w:t>Dans la mesure du possible, le travailleur sera affecté au même quart de travail, au même horaire et au même service. L’employeur ne passera à l’étape suivante que s’il est clair qu’une étape n’est pas susceptible d’être possible. La combinaison de diverses tâches, y compris provenant de différents services, doit aussi être envisagée. En dernier recours, l’exploration de travail dans d’autres unités de négociation est encouragée. Si l’employeur est incapable d’offrir des mesures d’adaptation à un travailleur au sein de l’organisation, une documentation doit être versée au dossier du travailleur confirmant les postes qui ont été examinés, dans quel ordre, et les raisons pour lesquelles ils n’étaient pas sécuritaires et convenables. Le travailleur sera informé qu’il n’est pas possible d’offrir des mesures d’adaptation à ses capacités actuelles à ce moment-là; toutefois, des mesures d’adaptation seront de nouveau envisagées lorsque la documentation médicale mise à jour sera reçue.</w:t>
      </w:r>
    </w:p>
    <w:p w14:paraId="0666A0AE" w14:textId="77777777" w:rsidR="00EE4920" w:rsidRPr="007628AF" w:rsidRDefault="00EE4920" w:rsidP="0053104D">
      <w:pPr>
        <w:pStyle w:val="ListParagraph"/>
        <w:widowControl w:val="0"/>
        <w:numPr>
          <w:ilvl w:val="0"/>
          <w:numId w:val="7"/>
        </w:numPr>
        <w:tabs>
          <w:tab w:val="left" w:pos="1530"/>
        </w:tabs>
        <w:autoSpaceDE w:val="0"/>
        <w:autoSpaceDN w:val="0"/>
        <w:spacing w:before="315" w:after="0" w:line="240" w:lineRule="auto"/>
        <w:ind w:left="450" w:right="66" w:hanging="450"/>
        <w:rPr>
          <w:rFonts w:ascii="Calibri" w:eastAsia="Rooney Light" w:hAnsi="Calibri" w:cs="Rooney Light"/>
          <w:b/>
          <w:bCs/>
          <w:lang w:val="fr-CA"/>
        </w:rPr>
      </w:pPr>
      <w:r w:rsidRPr="007628AF">
        <w:rPr>
          <w:rFonts w:ascii="Calibri" w:eastAsia="Rooney Light" w:hAnsi="Calibri" w:cs="Rooney Light"/>
          <w:b/>
          <w:bCs/>
          <w:lang w:val="fr-CA"/>
        </w:rPr>
        <w:t>Statut de rémunération :</w:t>
      </w:r>
    </w:p>
    <w:p w14:paraId="62049A40" w14:textId="77777777" w:rsidR="00EE4920" w:rsidRPr="007628AF" w:rsidRDefault="00EE4920" w:rsidP="0083268E">
      <w:pPr>
        <w:widowControl w:val="0"/>
        <w:autoSpaceDE w:val="0"/>
        <w:autoSpaceDN w:val="0"/>
        <w:spacing w:before="240" w:after="0" w:line="278" w:lineRule="auto"/>
        <w:ind w:left="446" w:right="72"/>
        <w:rPr>
          <w:rFonts w:ascii="Calibri" w:eastAsia="Rooney Light" w:hAnsi="Rooney Light" w:cs="Rooney Light"/>
          <w:lang w:val="fr-CA"/>
        </w:rPr>
      </w:pPr>
      <w:r w:rsidRPr="007628AF">
        <w:rPr>
          <w:rFonts w:ascii="Calibri" w:eastAsia="Rooney Light" w:hAnsi="Calibri" w:cs="Rooney Light"/>
          <w:lang w:val="fr-CA"/>
        </w:rPr>
        <w:t xml:space="preserve">L’employeur indiquera au travailleur comment il sera rémunéré </w:t>
      </w:r>
      <w:r w:rsidRPr="007628AF">
        <w:rPr>
          <w:rFonts w:ascii="Calibri" w:eastAsia="Rooney Light" w:hAnsi="Calibri" w:cs="Rooney Light"/>
          <w:color w:val="FF0000"/>
          <w:lang w:val="fr-CA"/>
        </w:rPr>
        <w:t xml:space="preserve">(indiquer comment, p. ex., son taux de rémunération habituel) </w:t>
      </w:r>
      <w:r w:rsidRPr="007628AF">
        <w:rPr>
          <w:rFonts w:ascii="Calibri" w:eastAsia="Rooney Light" w:hAnsi="Calibri" w:cs="Rooney Light"/>
          <w:lang w:val="fr-CA"/>
        </w:rPr>
        <w:t>pour les heures travaillées pendant sa participation à un plan de retour au travail.</w:t>
      </w:r>
    </w:p>
    <w:p w14:paraId="4802265F" w14:textId="77777777" w:rsidR="00EE4920" w:rsidRPr="007628AF" w:rsidRDefault="00EE4920" w:rsidP="0053104D">
      <w:pPr>
        <w:pStyle w:val="ListParagraph"/>
        <w:widowControl w:val="0"/>
        <w:numPr>
          <w:ilvl w:val="0"/>
          <w:numId w:val="7"/>
        </w:numPr>
        <w:tabs>
          <w:tab w:val="left" w:pos="1530"/>
        </w:tabs>
        <w:autoSpaceDE w:val="0"/>
        <w:autoSpaceDN w:val="0"/>
        <w:spacing w:before="315" w:after="0" w:line="240" w:lineRule="auto"/>
        <w:ind w:left="540" w:right="66" w:hanging="540"/>
        <w:rPr>
          <w:rFonts w:ascii="Calibri" w:eastAsia="Rooney Light" w:hAnsi="Rooney Light" w:cs="Rooney Light"/>
          <w:b/>
          <w:lang w:val="fr-CA"/>
        </w:rPr>
      </w:pPr>
      <w:r w:rsidRPr="007628AF">
        <w:rPr>
          <w:rFonts w:ascii="Calibri" w:eastAsia="Rooney Light" w:hAnsi="Calibri" w:cs="Rooney Light"/>
          <w:b/>
          <w:bCs/>
          <w:lang w:val="fr-CA"/>
        </w:rPr>
        <w:t>Règlement des différends :</w:t>
      </w:r>
    </w:p>
    <w:p w14:paraId="7493EF9D" w14:textId="1AA2411A" w:rsidR="00EE4920" w:rsidRPr="007628AF" w:rsidRDefault="00EE4920" w:rsidP="0083268E">
      <w:pPr>
        <w:widowControl w:val="0"/>
        <w:autoSpaceDE w:val="0"/>
        <w:autoSpaceDN w:val="0"/>
        <w:spacing w:before="240" w:after="0" w:line="276" w:lineRule="auto"/>
        <w:ind w:left="547" w:right="72"/>
        <w:rPr>
          <w:rFonts w:ascii="Calibri" w:eastAsia="Rooney Light" w:hAnsi="Rooney Light" w:cs="Rooney Light"/>
          <w:lang w:val="fr-CA"/>
        </w:rPr>
      </w:pPr>
      <w:r w:rsidRPr="007628AF">
        <w:rPr>
          <w:rFonts w:ascii="Calibri" w:eastAsia="Rooney Light" w:hAnsi="Calibri" w:cs="Rooney Light"/>
          <w:lang w:val="fr-CA"/>
        </w:rPr>
        <w:t>Si des désaccords surviennent à tout moment durant le processus concernant les capacités d’un travailleur, le plan de retour au travail proposé, ou sa capacité de participer à des tâches modifiées ou de remplacement, et qu’ils ne peuvent pas être résolus, le coordonnateur du retour au travail et le travailleur communiqueront avec la WCB pour obtenir de l’aide. Au besoin, le syndicat sera impliqué.</w:t>
      </w:r>
    </w:p>
    <w:p w14:paraId="6A5C43AF" w14:textId="77777777" w:rsidR="009A62DB" w:rsidRPr="007628AF" w:rsidRDefault="009A62DB" w:rsidP="00D4728D">
      <w:pPr>
        <w:widowControl w:val="0"/>
        <w:tabs>
          <w:tab w:val="left" w:pos="10896"/>
        </w:tabs>
        <w:autoSpaceDE w:val="0"/>
        <w:autoSpaceDN w:val="0"/>
        <w:spacing w:after="0" w:line="240" w:lineRule="auto"/>
        <w:ind w:right="66"/>
        <w:rPr>
          <w:rFonts w:ascii="Calibri" w:eastAsia="Rooney Light" w:hAnsi="Rooney Light" w:cs="Rooney Light"/>
          <w:sz w:val="25"/>
          <w:szCs w:val="20"/>
          <w:lang w:val="fr-CA"/>
        </w:rPr>
      </w:pPr>
    </w:p>
    <w:p w14:paraId="709D6EE8" w14:textId="2CC322DC" w:rsidR="00EE4920" w:rsidRPr="007628AF" w:rsidRDefault="00EE4920" w:rsidP="00D4728D">
      <w:pPr>
        <w:widowControl w:val="0"/>
        <w:tabs>
          <w:tab w:val="left" w:pos="2700"/>
          <w:tab w:val="left" w:pos="9072"/>
          <w:tab w:val="left" w:pos="10896"/>
        </w:tabs>
        <w:autoSpaceDE w:val="0"/>
        <w:autoSpaceDN w:val="0"/>
        <w:spacing w:after="0" w:line="240" w:lineRule="auto"/>
        <w:ind w:right="66"/>
        <w:rPr>
          <w:rFonts w:ascii="Calibri" w:eastAsia="Rooney Light" w:hAnsi="Rooney Light" w:cs="Rooney Light"/>
          <w:sz w:val="32"/>
          <w:u w:val="thick" w:color="2E74B5" w:themeColor="accent1" w:themeShade="BF"/>
          <w:lang w:val="fr-CA"/>
        </w:rPr>
      </w:pPr>
      <w:r w:rsidRPr="007628AF">
        <w:rPr>
          <w:rFonts w:ascii="Calibri" w:eastAsia="Rooney Light" w:hAnsi="Calibri" w:cs="Rooney Light"/>
          <w:sz w:val="32"/>
          <w:u w:val="thick" w:color="2E74B5" w:themeColor="accent1" w:themeShade="BF"/>
          <w:lang w:val="fr-CA"/>
        </w:rPr>
        <w:t>PROCÉDURES – Non liées au travail</w:t>
      </w:r>
      <w:r w:rsidRPr="007628AF">
        <w:rPr>
          <w:rFonts w:ascii="Calibri" w:eastAsia="Rooney Light" w:hAnsi="Calibri" w:cs="Rooney Light"/>
          <w:sz w:val="32"/>
          <w:u w:val="thick" w:color="2E74B5" w:themeColor="accent1" w:themeShade="BF"/>
          <w:lang w:val="fr-CA"/>
        </w:rPr>
        <w:tab/>
      </w:r>
    </w:p>
    <w:p w14:paraId="62B4AE6B" w14:textId="77777777" w:rsidR="00EE4920" w:rsidRPr="007628AF" w:rsidRDefault="00EE4920" w:rsidP="00D4728D">
      <w:pPr>
        <w:widowControl w:val="0"/>
        <w:autoSpaceDE w:val="0"/>
        <w:autoSpaceDN w:val="0"/>
        <w:spacing w:before="5" w:after="0" w:line="240" w:lineRule="auto"/>
        <w:ind w:right="66"/>
        <w:rPr>
          <w:rFonts w:ascii="Calibri" w:eastAsia="Rooney Light" w:hAnsi="Rooney Light" w:cs="Rooney Light"/>
          <w:sz w:val="25"/>
          <w:szCs w:val="20"/>
          <w:lang w:val="fr-CA"/>
        </w:rPr>
      </w:pPr>
    </w:p>
    <w:p w14:paraId="48942DB1" w14:textId="76B0C88F" w:rsidR="00EE4920" w:rsidRPr="007628AF" w:rsidRDefault="00EE4920" w:rsidP="007628AF">
      <w:pPr>
        <w:widowControl w:val="0"/>
        <w:autoSpaceDE w:val="0"/>
        <w:autoSpaceDN w:val="0"/>
        <w:spacing w:after="0" w:line="240" w:lineRule="auto"/>
        <w:ind w:right="66"/>
        <w:rPr>
          <w:rFonts w:ascii="Calibri" w:eastAsia="Rooney Light" w:hAnsi="Rooney Light" w:cs="Rooney Light"/>
          <w:b/>
          <w:lang w:val="fr-CA"/>
        </w:rPr>
      </w:pPr>
      <w:r w:rsidRPr="007628AF">
        <w:rPr>
          <w:rFonts w:ascii="Calibri" w:eastAsia="Rooney Light" w:hAnsi="Calibri" w:cs="Rooney Light"/>
          <w:b/>
          <w:bCs/>
          <w:lang w:val="fr-CA"/>
        </w:rPr>
        <w:t xml:space="preserve">Procédures pour une blessure ou une maladie non liée au travail : </w:t>
      </w:r>
      <w:r w:rsidRPr="007628AF">
        <w:rPr>
          <w:rFonts w:ascii="Calibri" w:eastAsia="Rooney Light" w:hAnsi="Calibri" w:cs="Rooney Light"/>
          <w:color w:val="FF0000"/>
          <w:u w:val="single"/>
          <w:lang w:val="fr-CA"/>
        </w:rPr>
        <w:t>(</w:t>
      </w:r>
      <w:r w:rsidR="007628AF" w:rsidRPr="007628AF">
        <w:rPr>
          <w:rFonts w:ascii="Calibri" w:eastAsia="Rooney Light" w:hAnsi="Calibri" w:cs="Rooney Light"/>
          <w:color w:val="FF0000"/>
          <w:u w:val="single"/>
          <w:lang w:val="fr-CA"/>
        </w:rPr>
        <w:t>à</w:t>
      </w:r>
      <w:r w:rsidRPr="007628AF">
        <w:rPr>
          <w:rFonts w:ascii="Calibri" w:eastAsia="Rooney Light" w:hAnsi="Calibri" w:cs="Rooney Light"/>
          <w:color w:val="FF0000"/>
          <w:u w:val="single"/>
          <w:lang w:val="fr-CA"/>
        </w:rPr>
        <w:t xml:space="preserve"> remplir par </w:t>
      </w:r>
      <w:r w:rsidR="007628AF" w:rsidRPr="007628AF">
        <w:rPr>
          <w:rFonts w:ascii="Calibri" w:eastAsia="Rooney Light" w:hAnsi="Calibri" w:cs="Rooney Light"/>
          <w:color w:val="FF0000"/>
          <w:u w:val="single"/>
          <w:lang w:val="fr-CA"/>
        </w:rPr>
        <w:t xml:space="preserve">nom </w:t>
      </w:r>
      <w:r w:rsidRPr="007628AF">
        <w:rPr>
          <w:rFonts w:ascii="Calibri" w:eastAsia="Rooney Light" w:hAnsi="Calibri" w:cs="Rooney Light"/>
          <w:color w:val="FF0000"/>
          <w:u w:val="single"/>
          <w:lang w:val="fr-CA"/>
        </w:rPr>
        <w:t>de l’organisation)</w:t>
      </w:r>
    </w:p>
    <w:p w14:paraId="77A9AB93" w14:textId="77777777" w:rsidR="00EE4920" w:rsidRPr="007628AF" w:rsidRDefault="00EE4920" w:rsidP="00D4728D">
      <w:pPr>
        <w:ind w:right="66"/>
        <w:rPr>
          <w:lang w:val="fr-CA"/>
        </w:rPr>
      </w:pPr>
    </w:p>
    <w:sectPr w:rsidR="00EE4920" w:rsidRPr="007628AF" w:rsidSect="00D472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D64F" w14:textId="77777777" w:rsidR="00730307" w:rsidRDefault="00730307" w:rsidP="000C0F63">
      <w:pPr>
        <w:spacing w:after="0" w:line="240" w:lineRule="auto"/>
      </w:pPr>
      <w:r>
        <w:separator/>
      </w:r>
    </w:p>
  </w:endnote>
  <w:endnote w:type="continuationSeparator" w:id="0">
    <w:p w14:paraId="6A1B1885" w14:textId="77777777" w:rsidR="00730307" w:rsidRDefault="00730307" w:rsidP="000C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avi">
    <w:panose1 w:val="020B0502040204020203"/>
    <w:charset w:val="00"/>
    <w:family w:val="swiss"/>
    <w:pitch w:val="variable"/>
    <w:sig w:usb0="00020003" w:usb1="00000000" w:usb2="00000000" w:usb3="00000000" w:csb0="00000001" w:csb1="00000000"/>
  </w:font>
  <w:font w:name="ITC Avant Garde Std Md">
    <w:altName w:val="Times New Roman"/>
    <w:charset w:val="00"/>
    <w:family w:val="auto"/>
    <w:pitch w:val="variable"/>
  </w:font>
  <w:font w:name="Rooney Light">
    <w:altName w:val="Arial"/>
    <w:charset w:val="00"/>
    <w:family w:val="swiss"/>
    <w:pitch w:val="variable"/>
    <w:sig w:usb0="A000006F" w:usb1="4000204B"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7772" w14:textId="77777777" w:rsidR="00811914" w:rsidRDefault="0081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9661"/>
      <w:docPartObj>
        <w:docPartGallery w:val="Page Numbers (Bottom of Page)"/>
        <w:docPartUnique/>
      </w:docPartObj>
    </w:sdtPr>
    <w:sdtEndPr>
      <w:rPr>
        <w:noProof/>
      </w:rPr>
    </w:sdtEndPr>
    <w:sdtContent>
      <w:p w14:paraId="39BCF7A1" w14:textId="2B2D44F0" w:rsidR="000C0F63" w:rsidRDefault="00E12611" w:rsidP="00C21455">
        <w:pPr>
          <w:pStyle w:val="Footer"/>
          <w:jc w:val="center"/>
        </w:pPr>
        <w:r>
          <w:rPr>
            <w:lang w:val="fr-CA"/>
          </w:rPr>
          <w:fldChar w:fldCharType="begin"/>
        </w:r>
        <w:r>
          <w:rPr>
            <w:lang w:val="fr-CA"/>
          </w:rPr>
          <w:instrText xml:space="preserve"> PAGE   \* MERGEFORMAT </w:instrText>
        </w:r>
        <w:r>
          <w:rPr>
            <w:lang w:val="fr-CA"/>
          </w:rPr>
          <w:fldChar w:fldCharType="separate"/>
        </w:r>
        <w:r>
          <w:rPr>
            <w:noProof/>
            <w:lang w:val="fr-CA"/>
          </w:rPr>
          <w:t>4</w:t>
        </w:r>
        <w:r>
          <w:rPr>
            <w:noProof/>
            <w:lang w:val="fr-C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AB30" w14:textId="77777777" w:rsidR="00811914" w:rsidRDefault="00811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5165" w14:textId="77777777" w:rsidR="00730307" w:rsidRDefault="00730307" w:rsidP="000C0F63">
      <w:pPr>
        <w:spacing w:after="0" w:line="240" w:lineRule="auto"/>
      </w:pPr>
      <w:r>
        <w:separator/>
      </w:r>
    </w:p>
  </w:footnote>
  <w:footnote w:type="continuationSeparator" w:id="0">
    <w:p w14:paraId="74D1246B" w14:textId="77777777" w:rsidR="00730307" w:rsidRDefault="00730307" w:rsidP="000C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AEC1" w14:textId="77777777" w:rsidR="00811914" w:rsidRDefault="00811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F57A" w14:textId="13E36B79" w:rsidR="000C0F63" w:rsidRDefault="00252DCC">
    <w:pPr>
      <w:pStyle w:val="Header"/>
    </w:pPr>
    <w:r>
      <w:rPr>
        <w:noProof/>
      </w:rPr>
      <w:pict w14:anchorId="4B362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3236" o:spid="_x0000_s1028" type="#_x0000_t136" style="position:absolute;margin-left:0;margin-top:0;width:396pt;height:128.4pt;z-index:-251658752;mso-position-horizontal:center;mso-position-horizontal-relative:margin;mso-position-vertical:center;mso-position-vertical-relative:margin" o:allowincell="f" fillcolor="#bfbfbf [2412]" stroked="f">
          <v:textpath style="font-family:&quot;Calibri&quot;;font-size:105pt" string="EXE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6FEB" w14:textId="77777777" w:rsidR="00811914" w:rsidRDefault="0081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DF1"/>
    <w:multiLevelType w:val="hybridMultilevel"/>
    <w:tmpl w:val="C6C6409C"/>
    <w:lvl w:ilvl="0" w:tplc="02A4BFC8">
      <w:start w:val="1"/>
      <w:numFmt w:val="lowerLetter"/>
      <w:lvlText w:val="%1)"/>
      <w:lvlJc w:val="left"/>
      <w:pPr>
        <w:ind w:left="1910" w:hanging="361"/>
      </w:pPr>
      <w:rPr>
        <w:rFonts w:ascii="Calibri" w:eastAsia="Calibri" w:hAnsi="Calibri" w:cs="Calibri" w:hint="default"/>
        <w:b w:val="0"/>
        <w:bCs w:val="0"/>
        <w:i w:val="0"/>
        <w:iCs w:val="0"/>
        <w:spacing w:val="-1"/>
        <w:w w:val="100"/>
        <w:sz w:val="22"/>
        <w:szCs w:val="22"/>
        <w:lang w:val="en-US" w:eastAsia="en-US" w:bidi="ar-SA"/>
      </w:rPr>
    </w:lvl>
    <w:lvl w:ilvl="1" w:tplc="EBACA8EC">
      <w:numFmt w:val="bullet"/>
      <w:lvlText w:val="•"/>
      <w:lvlJc w:val="left"/>
      <w:pPr>
        <w:ind w:left="2952" w:hanging="361"/>
      </w:pPr>
      <w:rPr>
        <w:rFonts w:hint="default"/>
        <w:lang w:val="en-US" w:eastAsia="en-US" w:bidi="ar-SA"/>
      </w:rPr>
    </w:lvl>
    <w:lvl w:ilvl="2" w:tplc="13BA1C6A">
      <w:numFmt w:val="bullet"/>
      <w:lvlText w:val="•"/>
      <w:lvlJc w:val="left"/>
      <w:pPr>
        <w:ind w:left="3984" w:hanging="361"/>
      </w:pPr>
      <w:rPr>
        <w:rFonts w:hint="default"/>
        <w:lang w:val="en-US" w:eastAsia="en-US" w:bidi="ar-SA"/>
      </w:rPr>
    </w:lvl>
    <w:lvl w:ilvl="3" w:tplc="800843B2">
      <w:numFmt w:val="bullet"/>
      <w:lvlText w:val="•"/>
      <w:lvlJc w:val="left"/>
      <w:pPr>
        <w:ind w:left="5016" w:hanging="361"/>
      </w:pPr>
      <w:rPr>
        <w:rFonts w:hint="default"/>
        <w:lang w:val="en-US" w:eastAsia="en-US" w:bidi="ar-SA"/>
      </w:rPr>
    </w:lvl>
    <w:lvl w:ilvl="4" w:tplc="58A2BD0C">
      <w:numFmt w:val="bullet"/>
      <w:lvlText w:val="•"/>
      <w:lvlJc w:val="left"/>
      <w:pPr>
        <w:ind w:left="6048" w:hanging="361"/>
      </w:pPr>
      <w:rPr>
        <w:rFonts w:hint="default"/>
        <w:lang w:val="en-US" w:eastAsia="en-US" w:bidi="ar-SA"/>
      </w:rPr>
    </w:lvl>
    <w:lvl w:ilvl="5" w:tplc="FE9413FC">
      <w:numFmt w:val="bullet"/>
      <w:lvlText w:val="•"/>
      <w:lvlJc w:val="left"/>
      <w:pPr>
        <w:ind w:left="7080" w:hanging="361"/>
      </w:pPr>
      <w:rPr>
        <w:rFonts w:hint="default"/>
        <w:lang w:val="en-US" w:eastAsia="en-US" w:bidi="ar-SA"/>
      </w:rPr>
    </w:lvl>
    <w:lvl w:ilvl="6" w:tplc="0F904FAE">
      <w:numFmt w:val="bullet"/>
      <w:lvlText w:val="•"/>
      <w:lvlJc w:val="left"/>
      <w:pPr>
        <w:ind w:left="8112" w:hanging="361"/>
      </w:pPr>
      <w:rPr>
        <w:rFonts w:hint="default"/>
        <w:lang w:val="en-US" w:eastAsia="en-US" w:bidi="ar-SA"/>
      </w:rPr>
    </w:lvl>
    <w:lvl w:ilvl="7" w:tplc="2A58E760">
      <w:numFmt w:val="bullet"/>
      <w:lvlText w:val="•"/>
      <w:lvlJc w:val="left"/>
      <w:pPr>
        <w:ind w:left="9144" w:hanging="361"/>
      </w:pPr>
      <w:rPr>
        <w:rFonts w:hint="default"/>
        <w:lang w:val="en-US" w:eastAsia="en-US" w:bidi="ar-SA"/>
      </w:rPr>
    </w:lvl>
    <w:lvl w:ilvl="8" w:tplc="ED662818">
      <w:numFmt w:val="bullet"/>
      <w:lvlText w:val="•"/>
      <w:lvlJc w:val="left"/>
      <w:pPr>
        <w:ind w:left="10176" w:hanging="361"/>
      </w:pPr>
      <w:rPr>
        <w:rFonts w:hint="default"/>
        <w:lang w:val="en-US" w:eastAsia="en-US" w:bidi="ar-SA"/>
      </w:rPr>
    </w:lvl>
  </w:abstractNum>
  <w:abstractNum w:abstractNumId="1" w15:restartNumberingAfterBreak="0">
    <w:nsid w:val="15E81AB6"/>
    <w:multiLevelType w:val="hybridMultilevel"/>
    <w:tmpl w:val="DCBA65C4"/>
    <w:lvl w:ilvl="0" w:tplc="FFFFFFFF">
      <w:start w:val="1"/>
      <w:numFmt w:val="lowerLetter"/>
      <w:lvlText w:val="%1)"/>
      <w:lvlJc w:val="left"/>
      <w:pPr>
        <w:ind w:left="1909" w:hanging="361"/>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580330"/>
    <w:multiLevelType w:val="hybridMultilevel"/>
    <w:tmpl w:val="D6844534"/>
    <w:lvl w:ilvl="0" w:tplc="6A0E010E">
      <w:start w:val="1"/>
      <w:numFmt w:val="lowerLetter"/>
      <w:lvlText w:val="%1)"/>
      <w:lvlJc w:val="left"/>
      <w:pPr>
        <w:ind w:left="719" w:hanging="360"/>
      </w:pPr>
      <w:rPr>
        <w:rFonts w:ascii="Calibri" w:eastAsia="Calibri" w:hAnsi="Calibri" w:cs="Calibri" w:hint="default"/>
        <w:b w:val="0"/>
        <w:bCs w:val="0"/>
        <w:i w:val="0"/>
        <w:iCs w:val="0"/>
        <w:spacing w:val="-1"/>
        <w:w w:val="100"/>
        <w:sz w:val="22"/>
        <w:szCs w:val="22"/>
        <w:lang w:val="en-US" w:eastAsia="en-US" w:bidi="ar-SA"/>
      </w:rPr>
    </w:lvl>
    <w:lvl w:ilvl="1" w:tplc="B526EB1A">
      <w:numFmt w:val="bullet"/>
      <w:lvlText w:val="•"/>
      <w:lvlJc w:val="left"/>
      <w:pPr>
        <w:ind w:left="1578" w:hanging="360"/>
      </w:pPr>
      <w:rPr>
        <w:rFonts w:hint="default"/>
        <w:lang w:val="en-US" w:eastAsia="en-US" w:bidi="ar-SA"/>
      </w:rPr>
    </w:lvl>
    <w:lvl w:ilvl="2" w:tplc="D34E0E24">
      <w:numFmt w:val="bullet"/>
      <w:lvlText w:val="•"/>
      <w:lvlJc w:val="left"/>
      <w:pPr>
        <w:ind w:left="2437" w:hanging="360"/>
      </w:pPr>
      <w:rPr>
        <w:rFonts w:hint="default"/>
        <w:lang w:val="en-US" w:eastAsia="en-US" w:bidi="ar-SA"/>
      </w:rPr>
    </w:lvl>
    <w:lvl w:ilvl="3" w:tplc="B5C4A02A">
      <w:numFmt w:val="bullet"/>
      <w:lvlText w:val="•"/>
      <w:lvlJc w:val="left"/>
      <w:pPr>
        <w:ind w:left="3296" w:hanging="360"/>
      </w:pPr>
      <w:rPr>
        <w:rFonts w:hint="default"/>
        <w:lang w:val="en-US" w:eastAsia="en-US" w:bidi="ar-SA"/>
      </w:rPr>
    </w:lvl>
    <w:lvl w:ilvl="4" w:tplc="E7B49E7E">
      <w:numFmt w:val="bullet"/>
      <w:lvlText w:val="•"/>
      <w:lvlJc w:val="left"/>
      <w:pPr>
        <w:ind w:left="4155" w:hanging="360"/>
      </w:pPr>
      <w:rPr>
        <w:rFonts w:hint="default"/>
        <w:lang w:val="en-US" w:eastAsia="en-US" w:bidi="ar-SA"/>
      </w:rPr>
    </w:lvl>
    <w:lvl w:ilvl="5" w:tplc="B03EC230">
      <w:numFmt w:val="bullet"/>
      <w:lvlText w:val="•"/>
      <w:lvlJc w:val="left"/>
      <w:pPr>
        <w:ind w:left="5014" w:hanging="360"/>
      </w:pPr>
      <w:rPr>
        <w:rFonts w:hint="default"/>
        <w:lang w:val="en-US" w:eastAsia="en-US" w:bidi="ar-SA"/>
      </w:rPr>
    </w:lvl>
    <w:lvl w:ilvl="6" w:tplc="1DDAB63C">
      <w:numFmt w:val="bullet"/>
      <w:lvlText w:val="•"/>
      <w:lvlJc w:val="left"/>
      <w:pPr>
        <w:ind w:left="5872" w:hanging="360"/>
      </w:pPr>
      <w:rPr>
        <w:rFonts w:hint="default"/>
        <w:lang w:val="en-US" w:eastAsia="en-US" w:bidi="ar-SA"/>
      </w:rPr>
    </w:lvl>
    <w:lvl w:ilvl="7" w:tplc="C2B8A4C8">
      <w:numFmt w:val="bullet"/>
      <w:lvlText w:val="•"/>
      <w:lvlJc w:val="left"/>
      <w:pPr>
        <w:ind w:left="6731" w:hanging="360"/>
      </w:pPr>
      <w:rPr>
        <w:rFonts w:hint="default"/>
        <w:lang w:val="en-US" w:eastAsia="en-US" w:bidi="ar-SA"/>
      </w:rPr>
    </w:lvl>
    <w:lvl w:ilvl="8" w:tplc="2788DBF0">
      <w:numFmt w:val="bullet"/>
      <w:lvlText w:val="•"/>
      <w:lvlJc w:val="left"/>
      <w:pPr>
        <w:ind w:left="7590" w:hanging="360"/>
      </w:pPr>
      <w:rPr>
        <w:rFonts w:hint="default"/>
        <w:lang w:val="en-US" w:eastAsia="en-US" w:bidi="ar-SA"/>
      </w:rPr>
    </w:lvl>
  </w:abstractNum>
  <w:abstractNum w:abstractNumId="3" w15:restartNumberingAfterBreak="0">
    <w:nsid w:val="36B34088"/>
    <w:multiLevelType w:val="hybridMultilevel"/>
    <w:tmpl w:val="A8F8B444"/>
    <w:lvl w:ilvl="0" w:tplc="420C38FE">
      <w:start w:val="1"/>
      <w:numFmt w:val="lowerLetter"/>
      <w:lvlText w:val="%1)"/>
      <w:lvlJc w:val="left"/>
      <w:pPr>
        <w:ind w:left="1910" w:hanging="361"/>
      </w:pPr>
      <w:rPr>
        <w:rFonts w:ascii="Calibri" w:eastAsia="Calibri" w:hAnsi="Calibri" w:cs="Calibri" w:hint="default"/>
        <w:b w:val="0"/>
        <w:bCs w:val="0"/>
        <w:i w:val="0"/>
        <w:iCs w:val="0"/>
        <w:spacing w:val="-1"/>
        <w:w w:val="100"/>
        <w:sz w:val="22"/>
        <w:szCs w:val="22"/>
        <w:lang w:val="en-US" w:eastAsia="en-US" w:bidi="ar-SA"/>
      </w:rPr>
    </w:lvl>
    <w:lvl w:ilvl="1" w:tplc="BBE02E58">
      <w:numFmt w:val="bullet"/>
      <w:lvlText w:val="•"/>
      <w:lvlJc w:val="left"/>
      <w:pPr>
        <w:ind w:left="2952" w:hanging="361"/>
      </w:pPr>
      <w:rPr>
        <w:rFonts w:hint="default"/>
        <w:lang w:val="en-US" w:eastAsia="en-US" w:bidi="ar-SA"/>
      </w:rPr>
    </w:lvl>
    <w:lvl w:ilvl="2" w:tplc="33B4DD9E">
      <w:numFmt w:val="bullet"/>
      <w:lvlText w:val="•"/>
      <w:lvlJc w:val="left"/>
      <w:pPr>
        <w:ind w:left="3984" w:hanging="361"/>
      </w:pPr>
      <w:rPr>
        <w:rFonts w:hint="default"/>
        <w:lang w:val="en-US" w:eastAsia="en-US" w:bidi="ar-SA"/>
      </w:rPr>
    </w:lvl>
    <w:lvl w:ilvl="3" w:tplc="80A49B08">
      <w:numFmt w:val="bullet"/>
      <w:lvlText w:val="•"/>
      <w:lvlJc w:val="left"/>
      <w:pPr>
        <w:ind w:left="5016" w:hanging="361"/>
      </w:pPr>
      <w:rPr>
        <w:rFonts w:hint="default"/>
        <w:lang w:val="en-US" w:eastAsia="en-US" w:bidi="ar-SA"/>
      </w:rPr>
    </w:lvl>
    <w:lvl w:ilvl="4" w:tplc="09987AF4">
      <w:numFmt w:val="bullet"/>
      <w:lvlText w:val="•"/>
      <w:lvlJc w:val="left"/>
      <w:pPr>
        <w:ind w:left="6048" w:hanging="361"/>
      </w:pPr>
      <w:rPr>
        <w:rFonts w:hint="default"/>
        <w:lang w:val="en-US" w:eastAsia="en-US" w:bidi="ar-SA"/>
      </w:rPr>
    </w:lvl>
    <w:lvl w:ilvl="5" w:tplc="708E98E2">
      <w:numFmt w:val="bullet"/>
      <w:lvlText w:val="•"/>
      <w:lvlJc w:val="left"/>
      <w:pPr>
        <w:ind w:left="7080" w:hanging="361"/>
      </w:pPr>
      <w:rPr>
        <w:rFonts w:hint="default"/>
        <w:lang w:val="en-US" w:eastAsia="en-US" w:bidi="ar-SA"/>
      </w:rPr>
    </w:lvl>
    <w:lvl w:ilvl="6" w:tplc="A3940F22">
      <w:numFmt w:val="bullet"/>
      <w:lvlText w:val="•"/>
      <w:lvlJc w:val="left"/>
      <w:pPr>
        <w:ind w:left="8112" w:hanging="361"/>
      </w:pPr>
      <w:rPr>
        <w:rFonts w:hint="default"/>
        <w:lang w:val="en-US" w:eastAsia="en-US" w:bidi="ar-SA"/>
      </w:rPr>
    </w:lvl>
    <w:lvl w:ilvl="7" w:tplc="DB96C6CE">
      <w:numFmt w:val="bullet"/>
      <w:lvlText w:val="•"/>
      <w:lvlJc w:val="left"/>
      <w:pPr>
        <w:ind w:left="9144" w:hanging="361"/>
      </w:pPr>
      <w:rPr>
        <w:rFonts w:hint="default"/>
        <w:lang w:val="en-US" w:eastAsia="en-US" w:bidi="ar-SA"/>
      </w:rPr>
    </w:lvl>
    <w:lvl w:ilvl="8" w:tplc="88905D16">
      <w:numFmt w:val="bullet"/>
      <w:lvlText w:val="•"/>
      <w:lvlJc w:val="left"/>
      <w:pPr>
        <w:ind w:left="10176" w:hanging="361"/>
      </w:pPr>
      <w:rPr>
        <w:rFonts w:hint="default"/>
        <w:lang w:val="en-US" w:eastAsia="en-US" w:bidi="ar-SA"/>
      </w:rPr>
    </w:lvl>
  </w:abstractNum>
  <w:abstractNum w:abstractNumId="4" w15:restartNumberingAfterBreak="0">
    <w:nsid w:val="37EB7E52"/>
    <w:multiLevelType w:val="hybridMultilevel"/>
    <w:tmpl w:val="A6C0B59C"/>
    <w:lvl w:ilvl="0" w:tplc="BA665D2A">
      <w:start w:val="1"/>
      <w:numFmt w:val="upperRoman"/>
      <w:lvlText w:val="%1."/>
      <w:lvlJc w:val="left"/>
      <w:pPr>
        <w:ind w:left="1558" w:hanging="478"/>
        <w:jc w:val="right"/>
      </w:pPr>
      <w:rPr>
        <w:rFonts w:ascii="Calibri" w:eastAsia="Calibri" w:hAnsi="Calibri" w:cs="Calibri" w:hint="default"/>
        <w:b/>
        <w:bCs/>
        <w:i w:val="0"/>
        <w:iCs w:val="0"/>
        <w:spacing w:val="-1"/>
        <w:w w:val="100"/>
        <w:sz w:val="22"/>
        <w:szCs w:val="22"/>
        <w:lang w:val="en-US" w:eastAsia="en-US" w:bidi="ar-SA"/>
      </w:rPr>
    </w:lvl>
    <w:lvl w:ilvl="1" w:tplc="88BC1736">
      <w:start w:val="1"/>
      <w:numFmt w:val="lowerLetter"/>
      <w:lvlText w:val="%2)"/>
      <w:lvlJc w:val="left"/>
      <w:pPr>
        <w:ind w:left="1909" w:hanging="361"/>
      </w:pPr>
      <w:rPr>
        <w:rFonts w:ascii="Calibri" w:eastAsia="Calibri" w:hAnsi="Calibri" w:cs="Calibri" w:hint="default"/>
        <w:b w:val="0"/>
        <w:bCs w:val="0"/>
        <w:i w:val="0"/>
        <w:iCs w:val="0"/>
        <w:spacing w:val="-1"/>
        <w:w w:val="100"/>
        <w:sz w:val="22"/>
        <w:szCs w:val="22"/>
        <w:lang w:val="en-US" w:eastAsia="en-US" w:bidi="ar-SA"/>
      </w:rPr>
    </w:lvl>
    <w:lvl w:ilvl="2" w:tplc="B53E95A2">
      <w:numFmt w:val="bullet"/>
      <w:lvlText w:val="•"/>
      <w:lvlJc w:val="left"/>
      <w:pPr>
        <w:ind w:left="1900" w:hanging="361"/>
      </w:pPr>
      <w:rPr>
        <w:rFonts w:hint="default"/>
        <w:lang w:val="en-US" w:eastAsia="en-US" w:bidi="ar-SA"/>
      </w:rPr>
    </w:lvl>
    <w:lvl w:ilvl="3" w:tplc="03CCEE1A">
      <w:numFmt w:val="bullet"/>
      <w:lvlText w:val="•"/>
      <w:lvlJc w:val="left"/>
      <w:pPr>
        <w:ind w:left="2040" w:hanging="361"/>
      </w:pPr>
      <w:rPr>
        <w:rFonts w:hint="default"/>
        <w:lang w:val="en-US" w:eastAsia="en-US" w:bidi="ar-SA"/>
      </w:rPr>
    </w:lvl>
    <w:lvl w:ilvl="4" w:tplc="F76812D6">
      <w:numFmt w:val="bullet"/>
      <w:lvlText w:val="•"/>
      <w:lvlJc w:val="left"/>
      <w:pPr>
        <w:ind w:left="3497" w:hanging="361"/>
      </w:pPr>
      <w:rPr>
        <w:rFonts w:hint="default"/>
        <w:lang w:val="en-US" w:eastAsia="en-US" w:bidi="ar-SA"/>
      </w:rPr>
    </w:lvl>
    <w:lvl w:ilvl="5" w:tplc="17187C4E">
      <w:numFmt w:val="bullet"/>
      <w:lvlText w:val="•"/>
      <w:lvlJc w:val="left"/>
      <w:pPr>
        <w:ind w:left="4954" w:hanging="361"/>
      </w:pPr>
      <w:rPr>
        <w:rFonts w:hint="default"/>
        <w:lang w:val="en-US" w:eastAsia="en-US" w:bidi="ar-SA"/>
      </w:rPr>
    </w:lvl>
    <w:lvl w:ilvl="6" w:tplc="1B78145A">
      <w:numFmt w:val="bullet"/>
      <w:lvlText w:val="•"/>
      <w:lvlJc w:val="left"/>
      <w:pPr>
        <w:ind w:left="6411" w:hanging="361"/>
      </w:pPr>
      <w:rPr>
        <w:rFonts w:hint="default"/>
        <w:lang w:val="en-US" w:eastAsia="en-US" w:bidi="ar-SA"/>
      </w:rPr>
    </w:lvl>
    <w:lvl w:ilvl="7" w:tplc="42FE73BC">
      <w:numFmt w:val="bullet"/>
      <w:lvlText w:val="•"/>
      <w:lvlJc w:val="left"/>
      <w:pPr>
        <w:ind w:left="7868" w:hanging="361"/>
      </w:pPr>
      <w:rPr>
        <w:rFonts w:hint="default"/>
        <w:lang w:val="en-US" w:eastAsia="en-US" w:bidi="ar-SA"/>
      </w:rPr>
    </w:lvl>
    <w:lvl w:ilvl="8" w:tplc="8F0E7C52">
      <w:numFmt w:val="bullet"/>
      <w:lvlText w:val="•"/>
      <w:lvlJc w:val="left"/>
      <w:pPr>
        <w:ind w:left="9325" w:hanging="361"/>
      </w:pPr>
      <w:rPr>
        <w:rFonts w:hint="default"/>
        <w:lang w:val="en-US" w:eastAsia="en-US" w:bidi="ar-SA"/>
      </w:rPr>
    </w:lvl>
  </w:abstractNum>
  <w:abstractNum w:abstractNumId="5" w15:restartNumberingAfterBreak="0">
    <w:nsid w:val="3CA25B8E"/>
    <w:multiLevelType w:val="hybridMultilevel"/>
    <w:tmpl w:val="181C2FC0"/>
    <w:lvl w:ilvl="0" w:tplc="B13256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0C2CE8"/>
    <w:multiLevelType w:val="hybridMultilevel"/>
    <w:tmpl w:val="DCBA65C4"/>
    <w:lvl w:ilvl="0" w:tplc="FFFFFFFF">
      <w:start w:val="1"/>
      <w:numFmt w:val="lowerLetter"/>
      <w:lvlText w:val="%1)"/>
      <w:lvlJc w:val="left"/>
      <w:pPr>
        <w:ind w:left="1909" w:hanging="361"/>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2B42CD"/>
    <w:multiLevelType w:val="hybridMultilevel"/>
    <w:tmpl w:val="DCBA65C4"/>
    <w:lvl w:ilvl="0" w:tplc="88BC1736">
      <w:start w:val="1"/>
      <w:numFmt w:val="lowerLetter"/>
      <w:lvlText w:val="%1)"/>
      <w:lvlJc w:val="left"/>
      <w:pPr>
        <w:ind w:left="1909" w:hanging="361"/>
      </w:pPr>
      <w:rPr>
        <w:rFonts w:ascii="Calibri" w:eastAsia="Calibri" w:hAnsi="Calibri" w:cs="Calibri" w:hint="default"/>
        <w:b w:val="0"/>
        <w:bCs w:val="0"/>
        <w:i w:val="0"/>
        <w:iCs w:val="0"/>
        <w:spacing w:val="-1"/>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3003865"/>
    <w:multiLevelType w:val="hybridMultilevel"/>
    <w:tmpl w:val="BBF43432"/>
    <w:lvl w:ilvl="0" w:tplc="CFA69FFA">
      <w:start w:val="1"/>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6ED958FC"/>
    <w:multiLevelType w:val="hybridMultilevel"/>
    <w:tmpl w:val="5030CCDE"/>
    <w:lvl w:ilvl="0" w:tplc="B4885D50">
      <w:start w:val="2"/>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902907023">
    <w:abstractNumId w:val="2"/>
  </w:num>
  <w:num w:numId="2" w16cid:durableId="768698221">
    <w:abstractNumId w:val="0"/>
  </w:num>
  <w:num w:numId="3" w16cid:durableId="685331860">
    <w:abstractNumId w:val="3"/>
  </w:num>
  <w:num w:numId="4" w16cid:durableId="1285230826">
    <w:abstractNumId w:val="4"/>
  </w:num>
  <w:num w:numId="5" w16cid:durableId="251864977">
    <w:abstractNumId w:val="5"/>
  </w:num>
  <w:num w:numId="6" w16cid:durableId="1066105964">
    <w:abstractNumId w:val="9"/>
  </w:num>
  <w:num w:numId="7" w16cid:durableId="1418747297">
    <w:abstractNumId w:val="8"/>
  </w:num>
  <w:num w:numId="8" w16cid:durableId="1990935181">
    <w:abstractNumId w:val="7"/>
  </w:num>
  <w:num w:numId="9" w16cid:durableId="249195702">
    <w:abstractNumId w:val="6"/>
  </w:num>
  <w:num w:numId="10" w16cid:durableId="158769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20"/>
    <w:rsid w:val="000133E8"/>
    <w:rsid w:val="00014628"/>
    <w:rsid w:val="000C0F63"/>
    <w:rsid w:val="000E572A"/>
    <w:rsid w:val="001467C9"/>
    <w:rsid w:val="00252DCC"/>
    <w:rsid w:val="00327077"/>
    <w:rsid w:val="00491C3F"/>
    <w:rsid w:val="004F63B8"/>
    <w:rsid w:val="0053104D"/>
    <w:rsid w:val="00571D10"/>
    <w:rsid w:val="005A3DA4"/>
    <w:rsid w:val="006A61B7"/>
    <w:rsid w:val="006F13F2"/>
    <w:rsid w:val="00721CC1"/>
    <w:rsid w:val="00730307"/>
    <w:rsid w:val="007628AF"/>
    <w:rsid w:val="007C4164"/>
    <w:rsid w:val="00811914"/>
    <w:rsid w:val="0083268E"/>
    <w:rsid w:val="00851CD9"/>
    <w:rsid w:val="0086082D"/>
    <w:rsid w:val="00892A56"/>
    <w:rsid w:val="008E08D4"/>
    <w:rsid w:val="008E0A1F"/>
    <w:rsid w:val="009027BC"/>
    <w:rsid w:val="00925BF7"/>
    <w:rsid w:val="00984DF1"/>
    <w:rsid w:val="009A62DB"/>
    <w:rsid w:val="00AA7E59"/>
    <w:rsid w:val="00AE3C55"/>
    <w:rsid w:val="00B540F6"/>
    <w:rsid w:val="00C01133"/>
    <w:rsid w:val="00C21455"/>
    <w:rsid w:val="00CA29C8"/>
    <w:rsid w:val="00CF0098"/>
    <w:rsid w:val="00CF23D2"/>
    <w:rsid w:val="00D4728D"/>
    <w:rsid w:val="00E12611"/>
    <w:rsid w:val="00E3793F"/>
    <w:rsid w:val="00EE4920"/>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118C2"/>
  <w15:chartTrackingRefBased/>
  <w15:docId w15:val="{CDCCD216-9F70-4B54-ABB0-83634B16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20"/>
    <w:pPr>
      <w:ind w:left="720"/>
      <w:contextualSpacing/>
    </w:pPr>
  </w:style>
  <w:style w:type="paragraph" w:styleId="Header">
    <w:name w:val="header"/>
    <w:basedOn w:val="Normal"/>
    <w:link w:val="HeaderChar"/>
    <w:uiPriority w:val="99"/>
    <w:unhideWhenUsed/>
    <w:rsid w:val="000C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63"/>
  </w:style>
  <w:style w:type="paragraph" w:styleId="Footer">
    <w:name w:val="footer"/>
    <w:basedOn w:val="Normal"/>
    <w:link w:val="FooterChar"/>
    <w:uiPriority w:val="99"/>
    <w:unhideWhenUsed/>
    <w:rsid w:val="000C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63"/>
  </w:style>
  <w:style w:type="paragraph" w:styleId="Revision">
    <w:name w:val="Revision"/>
    <w:hidden/>
    <w:uiPriority w:val="99"/>
    <w:semiHidden/>
    <w:rsid w:val="00571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70263e2d73553929a2416305b3964a6c">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9e19bfef34c22b0e509fbba024dd6551"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0C2B3-19B9-444C-8A08-990600F0B488}">
  <ds:schemaRefs>
    <ds:schemaRef ds:uri="http://schemas.openxmlformats.org/officeDocument/2006/bibliography"/>
  </ds:schemaRefs>
</ds:datastoreItem>
</file>

<file path=customXml/itemProps2.xml><?xml version="1.0" encoding="utf-8"?>
<ds:datastoreItem xmlns:ds="http://schemas.openxmlformats.org/officeDocument/2006/customXml" ds:itemID="{A4C6D98B-6360-4C0B-9ABA-48E2B799B543}"/>
</file>

<file path=customXml/itemProps3.xml><?xml version="1.0" encoding="utf-8"?>
<ds:datastoreItem xmlns:ds="http://schemas.openxmlformats.org/officeDocument/2006/customXml" ds:itemID="{CAE2A803-B2BE-41A1-9BC0-4A4D9D02163F}"/>
</file>

<file path=customXml/itemProps4.xml><?xml version="1.0" encoding="utf-8"?>
<ds:datastoreItem xmlns:ds="http://schemas.openxmlformats.org/officeDocument/2006/customXml" ds:itemID="{558E8C04-0023-4016-BE8C-622452B142B2}"/>
</file>

<file path=docProps/app.xml><?xml version="1.0" encoding="utf-8"?>
<Properties xmlns="http://schemas.openxmlformats.org/officeDocument/2006/extended-properties" xmlns:vt="http://schemas.openxmlformats.org/officeDocument/2006/docPropsVTypes">
  <Template>Normal.dotm</Template>
  <TotalTime>33</TotalTime>
  <Pages>5</Pages>
  <Words>1636</Words>
  <Characters>8949</Characters>
  <Application>Microsoft Office Word</Application>
  <DocSecurity>0</DocSecurity>
  <Lines>142</Lines>
  <Paragraphs>65</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Pascale - Parenty Reitmeier</cp:lastModifiedBy>
  <cp:revision>21</cp:revision>
  <dcterms:created xsi:type="dcterms:W3CDTF">2022-08-30T19:23:00Z</dcterms:created>
  <dcterms:modified xsi:type="dcterms:W3CDTF">2026-01-22T14:59:00Z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