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112F" w14:textId="77777777" w:rsidR="00DF7E66" w:rsidRPr="003379B7" w:rsidRDefault="00DF7E66" w:rsidP="001370D7">
      <w:pPr>
        <w:widowControl w:val="0"/>
        <w:autoSpaceDE w:val="0"/>
        <w:autoSpaceDN w:val="0"/>
        <w:spacing w:before="93" w:after="0" w:line="240" w:lineRule="auto"/>
        <w:ind w:left="1080" w:right="1170"/>
        <w:outlineLvl w:val="0"/>
        <w:rPr>
          <w:rFonts w:ascii="Calibri" w:eastAsia="ITC Avant Garde Std Md" w:hAnsi="Calibri" w:cs="Calibri"/>
          <w:sz w:val="36"/>
          <w:szCs w:val="36"/>
          <w:lang w:val="fr-FR"/>
        </w:rPr>
      </w:pPr>
      <w:bookmarkStart w:id="0" w:name="_TOC_250015"/>
      <w:r>
        <w:rPr>
          <w:rFonts w:ascii="Calibri" w:eastAsia="ITC Avant Garde Std Md" w:hAnsi="Calibri" w:cs="Calibri"/>
          <w:color w:val="004E7D"/>
          <w:sz w:val="36"/>
          <w:szCs w:val="36"/>
          <w:lang w:val="fr-CA"/>
        </w:rPr>
        <w:t xml:space="preserve">Politique de retour au travail – </w:t>
      </w:r>
      <w:bookmarkEnd w:id="0"/>
      <w:r>
        <w:rPr>
          <w:rFonts w:ascii="Calibri" w:eastAsia="ITC Avant Garde Std Md" w:hAnsi="Calibri" w:cs="Calibri"/>
          <w:color w:val="004E7D"/>
          <w:sz w:val="36"/>
          <w:szCs w:val="36"/>
          <w:lang w:val="fr-CA"/>
        </w:rPr>
        <w:t>Exemple</w:t>
      </w:r>
    </w:p>
    <w:p w14:paraId="4B7C9897" w14:textId="77777777" w:rsidR="00DF7E66" w:rsidRPr="003379B7" w:rsidRDefault="00DF7E66" w:rsidP="001370D7">
      <w:pPr>
        <w:widowControl w:val="0"/>
        <w:autoSpaceDE w:val="0"/>
        <w:autoSpaceDN w:val="0"/>
        <w:spacing w:before="6" w:after="0" w:line="240" w:lineRule="auto"/>
        <w:ind w:right="1170"/>
        <w:rPr>
          <w:rFonts w:ascii="ITC Avant Garde Std Md" w:eastAsia="Rooney Light" w:hAnsi="Rooney Light" w:cs="Rooney Light"/>
          <w:sz w:val="17"/>
          <w:szCs w:val="20"/>
          <w:lang w:val="fr-FR"/>
        </w:rPr>
      </w:pPr>
    </w:p>
    <w:p w14:paraId="05F6AD4E" w14:textId="77777777" w:rsidR="00DF7E66" w:rsidRPr="003379B7" w:rsidRDefault="00DF7E66" w:rsidP="001370D7">
      <w:pPr>
        <w:widowControl w:val="0"/>
        <w:autoSpaceDE w:val="0"/>
        <w:autoSpaceDN w:val="0"/>
        <w:spacing w:before="52" w:after="0" w:line="240" w:lineRule="auto"/>
        <w:ind w:left="1105" w:right="1170"/>
        <w:rPr>
          <w:rFonts w:ascii="Calibri" w:eastAsia="Rooney Light" w:hAnsi="Rooney Light" w:cs="Rooney Light"/>
          <w:b/>
          <w:sz w:val="24"/>
          <w:lang w:val="fr-FR"/>
        </w:rPr>
      </w:pPr>
      <w:r>
        <w:rPr>
          <w:rFonts w:ascii="Calibri" w:eastAsia="Rooney Light" w:hAnsi="Calibri" w:cs="Rooney Light"/>
          <w:b/>
          <w:bCs/>
          <w:sz w:val="24"/>
          <w:lang w:val="fr-CA"/>
        </w:rPr>
        <w:t>Politique n</w:t>
      </w:r>
      <w:r>
        <w:rPr>
          <w:rFonts w:ascii="Calibri" w:eastAsia="Rooney Light" w:hAnsi="Calibri" w:cs="Rooney Light"/>
          <w:b/>
          <w:bCs/>
          <w:sz w:val="24"/>
          <w:vertAlign w:val="superscript"/>
          <w:lang w:val="fr-CA"/>
        </w:rPr>
        <w:t>o</w:t>
      </w:r>
      <w:r>
        <w:rPr>
          <w:rFonts w:ascii="Calibri" w:eastAsia="Rooney Light" w:hAnsi="Calibri" w:cs="Rooney Light"/>
          <w:b/>
          <w:bCs/>
          <w:sz w:val="24"/>
          <w:lang w:val="fr-CA"/>
        </w:rPr>
        <w:t> :</w:t>
      </w:r>
    </w:p>
    <w:p w14:paraId="636331A5" w14:textId="77777777" w:rsidR="00DF7E66" w:rsidRPr="003379B7" w:rsidRDefault="00DF7E66" w:rsidP="001370D7">
      <w:pPr>
        <w:widowControl w:val="0"/>
        <w:autoSpaceDE w:val="0"/>
        <w:autoSpaceDN w:val="0"/>
        <w:spacing w:before="42" w:after="0" w:line="240" w:lineRule="auto"/>
        <w:ind w:left="1105" w:right="1170"/>
        <w:rPr>
          <w:rFonts w:ascii="Calibri" w:eastAsia="Rooney Light" w:hAnsi="Rooney Light" w:cs="Rooney Light"/>
          <w:b/>
          <w:sz w:val="24"/>
          <w:lang w:val="fr-FR"/>
        </w:rPr>
      </w:pPr>
      <w:r>
        <w:rPr>
          <w:rFonts w:ascii="Calibri" w:eastAsia="Rooney Light" w:hAnsi="Calibri" w:cs="Rooney Light"/>
          <w:b/>
          <w:bCs/>
          <w:sz w:val="24"/>
          <w:lang w:val="fr-CA"/>
        </w:rPr>
        <w:t>Titre :</w:t>
      </w:r>
    </w:p>
    <w:p w14:paraId="6F747C80" w14:textId="77777777" w:rsidR="00DF7E66" w:rsidRPr="003379B7" w:rsidRDefault="00DF7E66" w:rsidP="001370D7">
      <w:pPr>
        <w:widowControl w:val="0"/>
        <w:autoSpaceDE w:val="0"/>
        <w:autoSpaceDN w:val="0"/>
        <w:spacing w:before="47" w:after="0" w:line="240" w:lineRule="auto"/>
        <w:ind w:left="1105" w:right="1170"/>
        <w:rPr>
          <w:rFonts w:ascii="Calibri" w:eastAsia="Rooney Light" w:hAnsi="Rooney Light" w:cs="Rooney Light"/>
          <w:lang w:val="fr-FR"/>
        </w:rPr>
      </w:pPr>
      <w:r>
        <w:rPr>
          <w:rFonts w:ascii="Calibri" w:eastAsia="Rooney Light" w:hAnsi="Calibri" w:cs="Rooney Light"/>
          <w:b/>
          <w:bCs/>
          <w:sz w:val="24"/>
          <w:lang w:val="fr-CA"/>
        </w:rPr>
        <w:t xml:space="preserve">Objet : </w:t>
      </w:r>
      <w:r>
        <w:rPr>
          <w:rFonts w:ascii="Calibri" w:eastAsia="Rooney Light" w:hAnsi="Calibri" w:cs="Rooney Light"/>
          <w:lang w:val="fr-CA"/>
        </w:rPr>
        <w:t>Politique de signalement des blessures et de programme de retour au travail</w:t>
      </w:r>
    </w:p>
    <w:p w14:paraId="62D93A7A" w14:textId="77777777" w:rsidR="00DF7E66" w:rsidRPr="003379B7" w:rsidRDefault="00DF7E66" w:rsidP="001370D7">
      <w:pPr>
        <w:widowControl w:val="0"/>
        <w:autoSpaceDE w:val="0"/>
        <w:autoSpaceDN w:val="0"/>
        <w:spacing w:before="42" w:after="0" w:line="240" w:lineRule="auto"/>
        <w:ind w:left="1105" w:right="1170"/>
        <w:rPr>
          <w:rFonts w:ascii="Calibri" w:eastAsia="Rooney Light" w:hAnsi="Rooney Light" w:cs="Rooney Light"/>
          <w:b/>
          <w:sz w:val="24"/>
          <w:lang w:val="fr-FR"/>
        </w:rPr>
      </w:pPr>
      <w:r>
        <w:rPr>
          <w:rFonts w:ascii="Calibri" w:eastAsia="Rooney Light" w:hAnsi="Calibri" w:cs="Rooney Light"/>
          <w:b/>
          <w:bCs/>
          <w:sz w:val="24"/>
          <w:lang w:val="fr-CA"/>
        </w:rPr>
        <w:t>Approuvé par :</w:t>
      </w:r>
    </w:p>
    <w:p w14:paraId="42A53D73" w14:textId="77777777" w:rsidR="00DF7E66" w:rsidRPr="003379B7" w:rsidRDefault="00DF7E66" w:rsidP="001370D7">
      <w:pPr>
        <w:widowControl w:val="0"/>
        <w:autoSpaceDE w:val="0"/>
        <w:autoSpaceDN w:val="0"/>
        <w:spacing w:before="42" w:after="0" w:line="240" w:lineRule="auto"/>
        <w:ind w:left="1105" w:right="1170"/>
        <w:rPr>
          <w:rFonts w:ascii="Calibri" w:eastAsia="Rooney Light" w:hAnsi="Rooney Light" w:cs="Rooney Light"/>
          <w:b/>
          <w:sz w:val="24"/>
          <w:lang w:val="fr-FR"/>
        </w:rPr>
      </w:pPr>
      <w:r>
        <w:rPr>
          <w:rFonts w:ascii="Calibri" w:eastAsia="Rooney Light" w:hAnsi="Calibri" w:cs="Rooney Light"/>
          <w:b/>
          <w:bCs/>
          <w:sz w:val="24"/>
          <w:lang w:val="fr-CA"/>
        </w:rPr>
        <w:t>Date d’entrée en vigueur :</w:t>
      </w:r>
    </w:p>
    <w:p w14:paraId="58334A87" w14:textId="77777777" w:rsidR="00DF7E66" w:rsidRPr="00DF7E66" w:rsidRDefault="00DF7E66" w:rsidP="001370D7">
      <w:pPr>
        <w:widowControl w:val="0"/>
        <w:autoSpaceDE w:val="0"/>
        <w:autoSpaceDN w:val="0"/>
        <w:spacing w:before="47" w:after="0" w:line="240" w:lineRule="auto"/>
        <w:ind w:left="1105" w:right="1170"/>
        <w:rPr>
          <w:rFonts w:ascii="Calibri" w:eastAsia="Rooney Light" w:hAnsi="Rooney Light" w:cs="Rooney Light"/>
          <w:b/>
          <w:sz w:val="24"/>
        </w:rPr>
      </w:pPr>
      <w:r>
        <w:rPr>
          <w:rFonts w:ascii="Calibri" w:eastAsia="Rooney Light" w:hAnsi="Calibri" w:cs="Rooney Light"/>
          <w:b/>
          <w:bCs/>
          <w:sz w:val="24"/>
          <w:lang w:val="fr-CA"/>
        </w:rPr>
        <w:t>Date de révision :</w:t>
      </w:r>
    </w:p>
    <w:p w14:paraId="42BF1082" w14:textId="77777777" w:rsidR="00DF7E66" w:rsidRPr="00DF7E66" w:rsidRDefault="00DF7E66" w:rsidP="001370D7">
      <w:pPr>
        <w:widowControl w:val="0"/>
        <w:autoSpaceDE w:val="0"/>
        <w:autoSpaceDN w:val="0"/>
        <w:spacing w:before="10" w:after="0" w:line="240" w:lineRule="auto"/>
        <w:ind w:right="1170"/>
        <w:rPr>
          <w:rFonts w:ascii="Calibri" w:eastAsia="Rooney Light" w:hAnsi="Rooney Light" w:cs="Rooney Light"/>
          <w:b/>
          <w:sz w:val="27"/>
          <w:szCs w:val="20"/>
        </w:rPr>
      </w:pPr>
    </w:p>
    <w:p w14:paraId="36E9218B" w14:textId="77777777" w:rsidR="00DF7E66" w:rsidRPr="00992710" w:rsidRDefault="00DF7E66" w:rsidP="003E2875">
      <w:pPr>
        <w:widowControl w:val="0"/>
        <w:numPr>
          <w:ilvl w:val="0"/>
          <w:numId w:val="1"/>
        </w:numPr>
        <w:tabs>
          <w:tab w:val="left" w:pos="1466"/>
          <w:tab w:val="left" w:pos="11070"/>
        </w:tabs>
        <w:autoSpaceDE w:val="0"/>
        <w:autoSpaceDN w:val="0"/>
        <w:spacing w:after="0" w:line="240" w:lineRule="auto"/>
        <w:ind w:right="1170"/>
        <w:rPr>
          <w:rFonts w:ascii="Calibri" w:eastAsia="Rooney Light" w:hAnsi="Rooney Light" w:cs="Rooney Light"/>
          <w:b/>
          <w:sz w:val="28"/>
          <w:u w:val="thick"/>
        </w:rPr>
      </w:pPr>
      <w:r w:rsidRPr="00992710">
        <w:rPr>
          <w:rFonts w:ascii="Calibri" w:eastAsia="Rooney Light" w:hAnsi="Calibri" w:cs="Rooney Light"/>
          <w:b/>
          <w:bCs/>
          <w:sz w:val="28"/>
          <w:u w:val="thick" w:color="2E74B5" w:themeColor="accent1" w:themeShade="BF"/>
          <w:lang w:val="fr-CA"/>
        </w:rPr>
        <w:t>POLITIQUE</w:t>
      </w:r>
      <w:r w:rsidRPr="00992710">
        <w:rPr>
          <w:rFonts w:ascii="Calibri" w:eastAsia="Rooney Light" w:hAnsi="Calibri" w:cs="Rooney Light"/>
          <w:sz w:val="28"/>
          <w:u w:val="thick" w:color="2E74B5" w:themeColor="accent1" w:themeShade="BF"/>
          <w:lang w:val="fr-CA"/>
        </w:rPr>
        <w:tab/>
      </w:r>
    </w:p>
    <w:p w14:paraId="28B8B4ED" w14:textId="7B382BB3" w:rsidR="00DF7E66" w:rsidRPr="003379B7" w:rsidRDefault="00DF7E66" w:rsidP="001370D7">
      <w:pPr>
        <w:widowControl w:val="0"/>
        <w:autoSpaceDE w:val="0"/>
        <w:autoSpaceDN w:val="0"/>
        <w:spacing w:before="45" w:after="0" w:line="276" w:lineRule="auto"/>
        <w:ind w:left="1104" w:right="1170"/>
        <w:rPr>
          <w:rFonts w:ascii="Calibri" w:eastAsia="Rooney Light" w:hAnsi="Rooney Light" w:cs="Rooney Light"/>
          <w:lang w:val="fr-FR"/>
        </w:rPr>
      </w:pPr>
      <w:r>
        <w:rPr>
          <w:rFonts w:ascii="Calibri" w:eastAsia="Rooney Light" w:hAnsi="Calibri" w:cs="Rooney Light"/>
          <w:lang w:val="fr-CA"/>
        </w:rPr>
        <w:t xml:space="preserve">Lorsqu’un travailleur se blesse ou tombe malade à la suite du travail ou pour des raisons personnelles, l’objectif de </w:t>
      </w:r>
      <w:r>
        <w:rPr>
          <w:rFonts w:ascii="Calibri" w:eastAsia="Rooney Light" w:hAnsi="Calibri" w:cs="Rooney Light"/>
          <w:color w:val="FF0000"/>
          <w:lang w:val="fr-CA"/>
        </w:rPr>
        <w:t>(</w:t>
      </w:r>
      <w:r w:rsidR="00560526">
        <w:rPr>
          <w:rFonts w:ascii="Calibri" w:eastAsia="Rooney Light" w:hAnsi="Calibri" w:cs="Rooney Light"/>
          <w:color w:val="FF0000"/>
          <w:lang w:val="fr-CA"/>
        </w:rPr>
        <w:t xml:space="preserve">nom </w:t>
      </w:r>
      <w:r>
        <w:rPr>
          <w:rFonts w:ascii="Calibri" w:eastAsia="Rooney Light" w:hAnsi="Calibri" w:cs="Rooney Light"/>
          <w:color w:val="FF0000"/>
          <w:lang w:val="fr-CA"/>
        </w:rPr>
        <w:t xml:space="preserve">de l’organisation) </w:t>
      </w:r>
      <w:r>
        <w:rPr>
          <w:rFonts w:ascii="Calibri" w:eastAsia="Rooney Light" w:hAnsi="Calibri" w:cs="Rooney Light"/>
          <w:lang w:val="fr-CA"/>
        </w:rPr>
        <w:t>est de réduire l’impact de la blessure ou de la maladie en aidant les travailleurs à reprendre un travail sécuritaire et adapté dès que leur état de santé le permet. L’objectif principal du programme de retour au travail est de permettre à un travailleur de reprendre ses tâches de travail régulières antérieures à la blessure. Toutefois, si cela n’est pas possible, le programme de retour au travail aidera l’employeur et le travailleur à déterminer d’autres tâches de travail sécuritaires et adaptées, modifiées ou de remplacement, pour les travailleurs lorsqu’ils sont aptes à le faire. Cela aidera les travailleurs et l’employeur en favorisant la guérison, en maintenant les liens avec le milieu de travail et en réduisant l’incertitude pour l’avenir.</w:t>
      </w:r>
    </w:p>
    <w:p w14:paraId="5101C35C" w14:textId="77777777" w:rsidR="00DF7E66" w:rsidRPr="003379B7" w:rsidRDefault="00DF7E66" w:rsidP="003E2875">
      <w:pPr>
        <w:widowControl w:val="0"/>
        <w:autoSpaceDE w:val="0"/>
        <w:autoSpaceDN w:val="0"/>
        <w:spacing w:before="3" w:after="0" w:line="240" w:lineRule="auto"/>
        <w:ind w:right="1170"/>
        <w:rPr>
          <w:rFonts w:ascii="Calibri" w:eastAsia="Rooney Light" w:hAnsi="Rooney Light" w:cs="Rooney Light"/>
          <w:sz w:val="25"/>
          <w:szCs w:val="20"/>
          <w:lang w:val="fr-FR"/>
        </w:rPr>
      </w:pPr>
    </w:p>
    <w:p w14:paraId="4BB08367" w14:textId="77777777" w:rsidR="00DF7E66" w:rsidRPr="003379B7" w:rsidRDefault="00DF7E66" w:rsidP="003E2875">
      <w:pPr>
        <w:widowControl w:val="0"/>
        <w:autoSpaceDE w:val="0"/>
        <w:autoSpaceDN w:val="0"/>
        <w:spacing w:before="1" w:after="0" w:line="276" w:lineRule="auto"/>
        <w:ind w:left="1109" w:right="1166"/>
        <w:rPr>
          <w:rFonts w:ascii="Calibri" w:eastAsia="Rooney Light" w:hAnsi="Rooney Light" w:cs="Rooney Light"/>
          <w:lang w:val="fr-FR"/>
        </w:rPr>
      </w:pPr>
      <w:r>
        <w:rPr>
          <w:rFonts w:ascii="Calibri" w:eastAsia="Rooney Light" w:hAnsi="Calibri" w:cs="Rooney Light"/>
          <w:lang w:val="fr-CA"/>
        </w:rPr>
        <w:t>Le programme de retour au travail collaborera avec le travailleur, son superviseur, son ou ses fournisseur(s) de soins de santé, la Commission des accidents du travail (la WCB) du Manitoba ou tout autre assureur applicable, ainsi qu’avec le syndicat, le cas échéant. Cette approche favorise au mieux l’implication active, la participation et la responsabilisation de toutes les parties.</w:t>
      </w:r>
    </w:p>
    <w:p w14:paraId="4DADDE3C" w14:textId="77777777" w:rsidR="00DF7E66" w:rsidRPr="003379B7" w:rsidRDefault="00DF7E66" w:rsidP="003E2875">
      <w:pPr>
        <w:widowControl w:val="0"/>
        <w:autoSpaceDE w:val="0"/>
        <w:autoSpaceDN w:val="0"/>
        <w:spacing w:before="9" w:after="0" w:line="240" w:lineRule="auto"/>
        <w:ind w:right="1170"/>
        <w:rPr>
          <w:rFonts w:ascii="Calibri" w:eastAsia="Rooney Light" w:hAnsi="Rooney Light" w:cs="Rooney Light"/>
          <w:sz w:val="24"/>
          <w:szCs w:val="20"/>
          <w:lang w:val="fr-FR"/>
        </w:rPr>
      </w:pPr>
    </w:p>
    <w:p w14:paraId="22337924" w14:textId="77777777" w:rsidR="00DF7E66" w:rsidRPr="00992710" w:rsidRDefault="00DF7E66" w:rsidP="003E2875">
      <w:pPr>
        <w:widowControl w:val="0"/>
        <w:numPr>
          <w:ilvl w:val="0"/>
          <w:numId w:val="1"/>
        </w:numPr>
        <w:tabs>
          <w:tab w:val="left" w:pos="1466"/>
          <w:tab w:val="left" w:pos="11070"/>
        </w:tabs>
        <w:autoSpaceDE w:val="0"/>
        <w:autoSpaceDN w:val="0"/>
        <w:spacing w:after="0" w:line="240" w:lineRule="auto"/>
        <w:ind w:right="1170"/>
        <w:rPr>
          <w:rFonts w:ascii="Calibri" w:eastAsia="Rooney Light" w:hAnsi="Rooney Light" w:cs="Rooney Light"/>
          <w:b/>
          <w:sz w:val="28"/>
          <w:u w:val="thick" w:color="2E74B5" w:themeColor="accent1" w:themeShade="BF"/>
        </w:rPr>
      </w:pPr>
      <w:r w:rsidRPr="00992710">
        <w:rPr>
          <w:rFonts w:ascii="Calibri" w:eastAsia="Rooney Light" w:hAnsi="Calibri" w:cs="Rooney Light"/>
          <w:b/>
          <w:bCs/>
          <w:sz w:val="28"/>
          <w:u w:val="thick" w:color="2E74B5" w:themeColor="accent1" w:themeShade="BF"/>
          <w:lang w:val="fr-CA"/>
        </w:rPr>
        <w:t>CHAMP D’APPLICATION</w:t>
      </w:r>
      <w:r w:rsidRPr="00992710">
        <w:rPr>
          <w:rFonts w:ascii="Calibri" w:eastAsia="Rooney Light" w:hAnsi="Calibri" w:cs="Rooney Light"/>
          <w:sz w:val="28"/>
          <w:u w:val="thick" w:color="2E74B5" w:themeColor="accent1" w:themeShade="BF"/>
          <w:lang w:val="fr-CA"/>
        </w:rPr>
        <w:tab/>
      </w:r>
    </w:p>
    <w:p w14:paraId="2BBB2FA6" w14:textId="77777777" w:rsidR="00DF7E66" w:rsidRPr="003379B7" w:rsidRDefault="00DF7E66" w:rsidP="003E2875">
      <w:pPr>
        <w:widowControl w:val="0"/>
        <w:autoSpaceDE w:val="0"/>
        <w:autoSpaceDN w:val="0"/>
        <w:spacing w:before="51" w:after="0" w:line="276" w:lineRule="auto"/>
        <w:ind w:left="1104" w:right="1170"/>
        <w:rPr>
          <w:rFonts w:ascii="Calibri" w:eastAsia="Rooney Light" w:hAnsi="Rooney Light" w:cs="Rooney Light"/>
          <w:lang w:val="fr-FR"/>
        </w:rPr>
      </w:pPr>
      <w:r>
        <w:rPr>
          <w:rFonts w:ascii="Calibri" w:eastAsia="Rooney Light" w:hAnsi="Calibri" w:cs="Rooney Light"/>
          <w:lang w:val="fr-CA"/>
        </w:rPr>
        <w:t>Le programme de retour au travail s’applique à tous les travailleurs, indépendamment de leur situation d’emploi (à temps plein, à temps partiel, à terme, occasionnel, syndiqué ou non syndiqué), du type de blessure ou d’invalidité (physique ou cognitive) et du type de prestation que le travailleur reçoit (p. ex., la WCB, assurance automobile, congé de maladie, prestations d’invalidité de courte ou de longue durée).</w:t>
      </w:r>
    </w:p>
    <w:p w14:paraId="471FB76A" w14:textId="77777777" w:rsidR="00DF7E66" w:rsidRPr="003379B7" w:rsidRDefault="00DF7E66" w:rsidP="003E2875">
      <w:pPr>
        <w:widowControl w:val="0"/>
        <w:autoSpaceDE w:val="0"/>
        <w:autoSpaceDN w:val="0"/>
        <w:spacing w:before="7" w:after="0" w:line="240" w:lineRule="auto"/>
        <w:ind w:right="1170"/>
        <w:rPr>
          <w:rFonts w:ascii="Calibri" w:eastAsia="Rooney Light" w:hAnsi="Rooney Light" w:cs="Rooney Light"/>
          <w:sz w:val="25"/>
          <w:szCs w:val="20"/>
          <w:lang w:val="fr-FR"/>
        </w:rPr>
      </w:pPr>
    </w:p>
    <w:p w14:paraId="26CC3B9F" w14:textId="77777777" w:rsidR="00DF7E66" w:rsidRPr="00992710" w:rsidRDefault="00DF7E66" w:rsidP="003E2875">
      <w:pPr>
        <w:widowControl w:val="0"/>
        <w:numPr>
          <w:ilvl w:val="0"/>
          <w:numId w:val="1"/>
        </w:numPr>
        <w:tabs>
          <w:tab w:val="left" w:pos="1466"/>
          <w:tab w:val="left" w:pos="10548"/>
        </w:tabs>
        <w:autoSpaceDE w:val="0"/>
        <w:autoSpaceDN w:val="0"/>
        <w:spacing w:after="0" w:line="240" w:lineRule="auto"/>
        <w:ind w:right="1170"/>
        <w:rPr>
          <w:rFonts w:ascii="Calibri" w:eastAsia="Rooney Light" w:hAnsi="Rooney Light" w:cs="Rooney Light"/>
          <w:b/>
          <w:sz w:val="28"/>
          <w:u w:val="thick" w:color="2E74B5" w:themeColor="accent1" w:themeShade="BF"/>
        </w:rPr>
      </w:pPr>
      <w:r w:rsidRPr="00992710">
        <w:rPr>
          <w:rFonts w:ascii="Calibri" w:eastAsia="Rooney Light" w:hAnsi="Calibri" w:cs="Rooney Light"/>
          <w:b/>
          <w:bCs/>
          <w:sz w:val="28"/>
          <w:u w:val="thick" w:color="2E74B5" w:themeColor="accent1" w:themeShade="BF"/>
          <w:lang w:val="fr-CA"/>
        </w:rPr>
        <w:t>OBJECTIFS</w:t>
      </w:r>
      <w:r w:rsidRPr="00992710">
        <w:rPr>
          <w:rFonts w:ascii="Calibri" w:eastAsia="Rooney Light" w:hAnsi="Calibri" w:cs="Rooney Light"/>
          <w:sz w:val="28"/>
          <w:u w:val="thick" w:color="2E74B5" w:themeColor="accent1" w:themeShade="BF"/>
          <w:lang w:val="fr-CA"/>
        </w:rPr>
        <w:tab/>
      </w:r>
    </w:p>
    <w:p w14:paraId="0417FBA3" w14:textId="77777777" w:rsidR="00DF7E66" w:rsidRPr="00DF7E66" w:rsidRDefault="00DF7E66" w:rsidP="003E2875">
      <w:pPr>
        <w:widowControl w:val="0"/>
        <w:autoSpaceDE w:val="0"/>
        <w:autoSpaceDN w:val="0"/>
        <w:spacing w:before="2" w:after="0" w:line="240" w:lineRule="auto"/>
        <w:ind w:right="1170"/>
        <w:rPr>
          <w:rFonts w:ascii="Calibri" w:eastAsia="Rooney Light" w:hAnsi="Rooney Light" w:cs="Rooney Light"/>
          <w:b/>
          <w:sz w:val="29"/>
          <w:szCs w:val="20"/>
        </w:rPr>
      </w:pPr>
    </w:p>
    <w:p w14:paraId="271D4A86" w14:textId="77777777" w:rsidR="00DF7E66" w:rsidRPr="003379B7" w:rsidRDefault="00DF7E66" w:rsidP="003E2875">
      <w:pPr>
        <w:widowControl w:val="0"/>
        <w:numPr>
          <w:ilvl w:val="1"/>
          <w:numId w:val="1"/>
        </w:numPr>
        <w:tabs>
          <w:tab w:val="left" w:pos="1826"/>
        </w:tabs>
        <w:autoSpaceDE w:val="0"/>
        <w:autoSpaceDN w:val="0"/>
        <w:spacing w:after="0" w:line="276" w:lineRule="auto"/>
        <w:ind w:left="1829" w:right="1166"/>
        <w:rPr>
          <w:rFonts w:ascii="Calibri" w:eastAsia="Rooney Light" w:hAnsi="Rooney Light" w:cs="Rooney Light"/>
          <w:lang w:val="fr-FR"/>
        </w:rPr>
      </w:pPr>
      <w:r>
        <w:rPr>
          <w:rFonts w:ascii="Calibri" w:eastAsia="Rooney Light" w:hAnsi="Calibri" w:cs="Rooney Light"/>
          <w:lang w:val="fr-CA"/>
        </w:rPr>
        <w:t>Offrir des mesures d’adaptation de travail sécuritaires et adaptées afin de réduire les coûts humains et financiers liés aux blessures.</w:t>
      </w:r>
    </w:p>
    <w:p w14:paraId="29C0B3E6" w14:textId="77777777" w:rsidR="00DF7E66" w:rsidRPr="003379B7" w:rsidRDefault="00DF7E66" w:rsidP="003E2875">
      <w:pPr>
        <w:widowControl w:val="0"/>
        <w:numPr>
          <w:ilvl w:val="1"/>
          <w:numId w:val="1"/>
        </w:numPr>
        <w:tabs>
          <w:tab w:val="left" w:pos="1826"/>
        </w:tabs>
        <w:autoSpaceDE w:val="0"/>
        <w:autoSpaceDN w:val="0"/>
        <w:spacing w:before="3" w:after="0" w:line="276" w:lineRule="auto"/>
        <w:ind w:left="1829" w:right="1166" w:hanging="361"/>
        <w:rPr>
          <w:rFonts w:ascii="Calibri" w:eastAsia="Rooney Light" w:hAnsi="Rooney Light" w:cs="Rooney Light"/>
          <w:lang w:val="fr-FR"/>
        </w:rPr>
      </w:pPr>
      <w:r>
        <w:rPr>
          <w:rFonts w:ascii="Calibri" w:eastAsia="Rooney Light" w:hAnsi="Calibri" w:cs="Rooney Light"/>
          <w:lang w:val="fr-CA"/>
        </w:rPr>
        <w:t>Permettre au travailleur blessé de reprendre des tâches et des gains se rapprochant le plus possible de ceux de sa situation avant la blessure.</w:t>
      </w:r>
    </w:p>
    <w:p w14:paraId="60C24164" w14:textId="77777777" w:rsidR="00DF7E66" w:rsidRPr="003379B7" w:rsidRDefault="00DF7E66" w:rsidP="003E2875">
      <w:pPr>
        <w:widowControl w:val="0"/>
        <w:numPr>
          <w:ilvl w:val="1"/>
          <w:numId w:val="1"/>
        </w:numPr>
        <w:tabs>
          <w:tab w:val="left" w:pos="1826"/>
        </w:tabs>
        <w:autoSpaceDE w:val="0"/>
        <w:autoSpaceDN w:val="0"/>
        <w:spacing w:before="36" w:after="0" w:line="276" w:lineRule="auto"/>
        <w:ind w:left="1829" w:right="1166"/>
        <w:rPr>
          <w:rFonts w:ascii="Calibri" w:eastAsia="Rooney Light" w:hAnsi="Calibri" w:cs="Rooney Light"/>
          <w:lang w:val="fr-FR"/>
        </w:rPr>
      </w:pPr>
      <w:r>
        <w:rPr>
          <w:rFonts w:ascii="Calibri" w:eastAsia="Rooney Light" w:hAnsi="Calibri" w:cs="Rooney Light"/>
          <w:lang w:val="fr-CA"/>
        </w:rPr>
        <w:t xml:space="preserve">Veiller à ce que le retour au travail du travailleur soit conforme aux exigences précisées par l’employeur dans la convention collective et à toutes les lois applicables, notamment les obligations en vertu de la </w:t>
      </w:r>
      <w:r>
        <w:rPr>
          <w:rFonts w:ascii="Calibri" w:eastAsia="Rooney Light" w:hAnsi="Calibri" w:cs="Rooney Light"/>
          <w:i/>
          <w:iCs/>
          <w:lang w:val="fr-CA"/>
        </w:rPr>
        <w:t>Loi sur les accidents du travail</w:t>
      </w:r>
      <w:r>
        <w:rPr>
          <w:rFonts w:ascii="Calibri" w:eastAsia="Rooney Light" w:hAnsi="Calibri" w:cs="Rooney Light"/>
          <w:lang w:val="fr-CA"/>
        </w:rPr>
        <w:t>.</w:t>
      </w:r>
    </w:p>
    <w:p w14:paraId="17537412" w14:textId="2906A85C" w:rsidR="00DF7E66" w:rsidRPr="003379B7" w:rsidRDefault="00DF7E66" w:rsidP="003E2875">
      <w:pPr>
        <w:widowControl w:val="0"/>
        <w:numPr>
          <w:ilvl w:val="1"/>
          <w:numId w:val="1"/>
        </w:numPr>
        <w:tabs>
          <w:tab w:val="left" w:pos="1826"/>
        </w:tabs>
        <w:autoSpaceDE w:val="0"/>
        <w:autoSpaceDN w:val="0"/>
        <w:spacing w:after="0" w:line="276" w:lineRule="auto"/>
        <w:ind w:right="1170" w:hanging="361"/>
        <w:rPr>
          <w:rFonts w:ascii="Calibri" w:eastAsia="Rooney Light" w:hAnsi="Rooney Light" w:cs="Rooney Light"/>
          <w:lang w:val="fr-FR"/>
        </w:rPr>
      </w:pPr>
      <w:r>
        <w:rPr>
          <w:rFonts w:ascii="Calibri" w:eastAsia="Rooney Light" w:hAnsi="Calibri" w:cs="Rooney Light"/>
          <w:lang w:val="fr-CA"/>
        </w:rPr>
        <w:lastRenderedPageBreak/>
        <w:t xml:space="preserve">Éviter le risque de rechute ou de nouvelle blessure grâce à des tâches sécuritaires et adéquates, et </w:t>
      </w:r>
      <w:r w:rsidR="001370D7">
        <w:rPr>
          <w:rFonts w:ascii="Calibri" w:eastAsia="Rooney Light" w:hAnsi="Calibri" w:cs="Rooney Light"/>
          <w:lang w:val="fr-CA"/>
        </w:rPr>
        <w:br/>
      </w:r>
      <w:r>
        <w:rPr>
          <w:rFonts w:ascii="Calibri" w:eastAsia="Rooney Light" w:hAnsi="Calibri" w:cs="Rooney Light"/>
          <w:lang w:val="fr-CA"/>
        </w:rPr>
        <w:t>à un suivi efficace.</w:t>
      </w:r>
    </w:p>
    <w:p w14:paraId="779888BD" w14:textId="77777777" w:rsidR="00DF7E66" w:rsidRPr="003E2875" w:rsidRDefault="00DF7E66" w:rsidP="001370D7">
      <w:pPr>
        <w:widowControl w:val="0"/>
        <w:numPr>
          <w:ilvl w:val="1"/>
          <w:numId w:val="1"/>
        </w:numPr>
        <w:tabs>
          <w:tab w:val="left" w:pos="1826"/>
        </w:tabs>
        <w:autoSpaceDE w:val="0"/>
        <w:autoSpaceDN w:val="0"/>
        <w:spacing w:before="37" w:after="0" w:line="276" w:lineRule="auto"/>
        <w:ind w:right="1170" w:hanging="361"/>
        <w:rPr>
          <w:rFonts w:ascii="Calibri" w:eastAsia="Rooney Light" w:hAnsi="Rooney Light" w:cs="Rooney Light"/>
          <w:lang w:val="fr-FR"/>
        </w:rPr>
      </w:pPr>
      <w:r>
        <w:rPr>
          <w:rFonts w:ascii="Calibri" w:eastAsia="Rooney Light" w:hAnsi="Calibri" w:cs="Rooney Light"/>
          <w:lang w:val="fr-CA"/>
        </w:rPr>
        <w:t>Aider le travailleur à regagner son environnement de travail ordinaire de façon sécuritaire et en temps opportun.</w:t>
      </w:r>
    </w:p>
    <w:p w14:paraId="14CCD5F3" w14:textId="77777777" w:rsidR="00DF7E66" w:rsidRPr="003379B7" w:rsidRDefault="00DF7E66" w:rsidP="003E2875">
      <w:pPr>
        <w:widowControl w:val="0"/>
        <w:numPr>
          <w:ilvl w:val="1"/>
          <w:numId w:val="1"/>
        </w:numPr>
        <w:tabs>
          <w:tab w:val="left" w:pos="1805"/>
        </w:tabs>
        <w:autoSpaceDE w:val="0"/>
        <w:autoSpaceDN w:val="0"/>
        <w:spacing w:before="40" w:after="0" w:line="276" w:lineRule="auto"/>
        <w:ind w:left="1804" w:right="1170" w:hanging="361"/>
        <w:rPr>
          <w:rFonts w:ascii="Calibri" w:eastAsia="Rooney Light" w:hAnsi="Rooney Light" w:cs="Rooney Light"/>
          <w:lang w:val="fr-FR"/>
        </w:rPr>
      </w:pPr>
      <w:r>
        <w:rPr>
          <w:rFonts w:ascii="Calibri" w:eastAsia="Rooney Light" w:hAnsi="Calibri" w:cs="Rooney Light"/>
          <w:lang w:val="fr-CA"/>
        </w:rPr>
        <w:t>Maintenir les objectifs et la productivité de l’organisation.</w:t>
      </w:r>
    </w:p>
    <w:p w14:paraId="11389A1B" w14:textId="7999E9DB" w:rsidR="00DF7E66" w:rsidRPr="003379B7" w:rsidRDefault="00DF7E66" w:rsidP="003E2875">
      <w:pPr>
        <w:widowControl w:val="0"/>
        <w:numPr>
          <w:ilvl w:val="1"/>
          <w:numId w:val="1"/>
        </w:numPr>
        <w:tabs>
          <w:tab w:val="left" w:pos="1805"/>
        </w:tabs>
        <w:autoSpaceDE w:val="0"/>
        <w:autoSpaceDN w:val="0"/>
        <w:spacing w:before="42" w:after="0" w:line="276" w:lineRule="auto"/>
        <w:ind w:left="1804" w:right="1170"/>
        <w:rPr>
          <w:rFonts w:ascii="Calibri" w:eastAsia="Rooney Light" w:hAnsi="Rooney Light" w:cs="Rooney Light"/>
          <w:lang w:val="fr-FR"/>
        </w:rPr>
      </w:pPr>
      <w:r>
        <w:rPr>
          <w:rFonts w:ascii="Calibri" w:eastAsia="Rooney Light" w:hAnsi="Calibri" w:cs="Rooney Light"/>
          <w:lang w:val="fr-CA"/>
        </w:rPr>
        <w:t xml:space="preserve">Fournir aux superviseurs/gestionnaires les outils et la formation nécessaires pour aider le coordonnateur du retour au travail à gérer les réclamations liées aux blessures et à l’invalidité </w:t>
      </w:r>
      <w:r w:rsidR="001370D7">
        <w:rPr>
          <w:rFonts w:ascii="Calibri" w:eastAsia="Rooney Light" w:hAnsi="Calibri" w:cs="Rooney Light"/>
          <w:lang w:val="fr-CA"/>
        </w:rPr>
        <w:br/>
      </w:r>
      <w:r>
        <w:rPr>
          <w:rFonts w:ascii="Calibri" w:eastAsia="Rooney Light" w:hAnsi="Calibri" w:cs="Rooney Light"/>
          <w:lang w:val="fr-CA"/>
        </w:rPr>
        <w:t>de façon uniforme et efficace.</w:t>
      </w:r>
    </w:p>
    <w:p w14:paraId="437CB495" w14:textId="77777777" w:rsidR="00DF7E66" w:rsidRPr="003379B7" w:rsidRDefault="00DF7E66" w:rsidP="003E2875">
      <w:pPr>
        <w:widowControl w:val="0"/>
        <w:autoSpaceDE w:val="0"/>
        <w:autoSpaceDN w:val="0"/>
        <w:spacing w:after="0" w:line="240" w:lineRule="auto"/>
        <w:ind w:right="1170"/>
        <w:rPr>
          <w:rFonts w:ascii="Calibri" w:eastAsia="Rooney Light" w:hAnsi="Rooney Light" w:cs="Rooney Light"/>
          <w:szCs w:val="20"/>
          <w:lang w:val="fr-FR"/>
        </w:rPr>
      </w:pPr>
    </w:p>
    <w:p w14:paraId="22288981" w14:textId="418C7DEF" w:rsidR="00DF7E66" w:rsidRPr="00992710" w:rsidRDefault="00DF7E66" w:rsidP="003E2875">
      <w:pPr>
        <w:widowControl w:val="0"/>
        <w:numPr>
          <w:ilvl w:val="0"/>
          <w:numId w:val="1"/>
        </w:numPr>
        <w:tabs>
          <w:tab w:val="left" w:pos="1445"/>
          <w:tab w:val="left" w:pos="10529"/>
        </w:tabs>
        <w:autoSpaceDE w:val="0"/>
        <w:autoSpaceDN w:val="0"/>
        <w:spacing w:before="182" w:after="0" w:line="240" w:lineRule="auto"/>
        <w:ind w:left="1444" w:right="1170"/>
        <w:rPr>
          <w:rFonts w:ascii="Calibri" w:eastAsia="Rooney Light" w:hAnsi="Rooney Light" w:cs="Rooney Light"/>
          <w:b/>
          <w:sz w:val="28"/>
          <w:u w:val="thick" w:color="2E74B5" w:themeColor="accent1" w:themeShade="BF"/>
          <w:lang w:val="fr-FR"/>
        </w:rPr>
      </w:pPr>
      <w:r w:rsidRPr="00992710">
        <w:rPr>
          <w:rFonts w:ascii="Calibri" w:eastAsia="Rooney Light" w:hAnsi="Calibri" w:cs="Rooney Light"/>
          <w:b/>
          <w:bCs/>
          <w:sz w:val="28"/>
          <w:u w:val="thick" w:color="2E74B5" w:themeColor="accent1" w:themeShade="BF"/>
          <w:lang w:val="fr-CA"/>
        </w:rPr>
        <w:t>CONSERVATION, ENTREPOSAGE ET ACCÈS AU DOSSIER</w:t>
      </w:r>
      <w:r w:rsidR="00992710" w:rsidRPr="00992710">
        <w:rPr>
          <w:rFonts w:ascii="Calibri" w:eastAsia="Rooney Light" w:hAnsi="Calibri" w:cs="Rooney Light"/>
          <w:b/>
          <w:bCs/>
          <w:sz w:val="28"/>
          <w:u w:val="thick" w:color="2E74B5" w:themeColor="accent1" w:themeShade="BF"/>
          <w:lang w:val="fr-CA"/>
        </w:rPr>
        <w:tab/>
      </w:r>
      <w:r w:rsidR="00992710" w:rsidRPr="00992710">
        <w:rPr>
          <w:rFonts w:ascii="Calibri" w:eastAsia="Rooney Light" w:hAnsi="Calibri" w:cs="Rooney Light"/>
          <w:b/>
          <w:bCs/>
          <w:sz w:val="28"/>
          <w:u w:val="thick" w:color="2E74B5" w:themeColor="accent1" w:themeShade="BF"/>
          <w:lang w:val="fr-CA"/>
        </w:rPr>
        <w:tab/>
      </w:r>
    </w:p>
    <w:p w14:paraId="082FD762" w14:textId="77777777" w:rsidR="00DF7E66" w:rsidRPr="003379B7" w:rsidRDefault="00DF7E66" w:rsidP="003E2875">
      <w:pPr>
        <w:widowControl w:val="0"/>
        <w:autoSpaceDE w:val="0"/>
        <w:autoSpaceDN w:val="0"/>
        <w:spacing w:before="50" w:after="0" w:line="276" w:lineRule="auto"/>
        <w:ind w:left="1083" w:right="1170"/>
        <w:rPr>
          <w:rFonts w:ascii="Calibri" w:eastAsia="Rooney Light" w:hAnsi="Rooney Light" w:cs="Rooney Light"/>
          <w:lang w:val="fr-FR"/>
        </w:rPr>
      </w:pPr>
      <w:r>
        <w:rPr>
          <w:rFonts w:ascii="Calibri" w:eastAsia="Rooney Light" w:hAnsi="Calibri" w:cs="Rooney Light"/>
          <w:lang w:val="fr-CA"/>
        </w:rPr>
        <w:t>L’entreposage des renseignements liés à la blessure du travailleur, au retour au travail et aux renseignements de réclamation relève du coordonnateur du retour au travail. Tous les renseignements doivent être conservés dans des dossiers confidentiels individuels propres au travailleur et distincts du dossier du personnel. Sur demande écrite, le travailleur a le droit de consulter le contenu de son dossier en présence des ressources humaines ou de la personne désignée.</w:t>
      </w:r>
    </w:p>
    <w:p w14:paraId="2E6682F3" w14:textId="77777777" w:rsidR="00DF7E66" w:rsidRPr="003379B7" w:rsidRDefault="00DF7E66" w:rsidP="003E2875">
      <w:pPr>
        <w:widowControl w:val="0"/>
        <w:autoSpaceDE w:val="0"/>
        <w:autoSpaceDN w:val="0"/>
        <w:spacing w:after="0" w:line="240" w:lineRule="auto"/>
        <w:ind w:right="1170"/>
        <w:rPr>
          <w:rFonts w:ascii="Calibri" w:eastAsia="Rooney Light" w:hAnsi="Rooney Light" w:cs="Rooney Light"/>
          <w:sz w:val="20"/>
          <w:szCs w:val="20"/>
          <w:lang w:val="fr-FR"/>
        </w:rPr>
      </w:pPr>
    </w:p>
    <w:p w14:paraId="2DBA6E88" w14:textId="77777777" w:rsidR="00DF7E66" w:rsidRPr="003379B7" w:rsidRDefault="00DF7E66" w:rsidP="003E2875">
      <w:pPr>
        <w:widowControl w:val="0"/>
        <w:autoSpaceDE w:val="0"/>
        <w:autoSpaceDN w:val="0"/>
        <w:spacing w:after="0" w:line="240" w:lineRule="auto"/>
        <w:ind w:right="1170"/>
        <w:rPr>
          <w:rFonts w:ascii="Calibri" w:eastAsia="Rooney Light" w:hAnsi="Rooney Light" w:cs="Rooney Light"/>
          <w:sz w:val="20"/>
          <w:szCs w:val="20"/>
          <w:lang w:val="fr-FR"/>
        </w:rPr>
      </w:pPr>
    </w:p>
    <w:p w14:paraId="642F3178" w14:textId="3E7ACF51" w:rsidR="00F37BA0" w:rsidRPr="00992710" w:rsidRDefault="00F37BA0" w:rsidP="003E2875">
      <w:pPr>
        <w:widowControl w:val="0"/>
        <w:autoSpaceDE w:val="0"/>
        <w:autoSpaceDN w:val="0"/>
        <w:spacing w:before="11" w:after="0" w:line="240" w:lineRule="auto"/>
        <w:ind w:right="1170"/>
        <w:rPr>
          <w:lang w:val="fr-CA"/>
        </w:rPr>
      </w:pPr>
    </w:p>
    <w:sectPr w:rsidR="00F37BA0" w:rsidRPr="00992710" w:rsidSect="00206C95">
      <w:headerReference w:type="default" r:id="rId7"/>
      <w:footerReference w:type="default" r:id="rId8"/>
      <w:pgSz w:w="12240" w:h="15840"/>
      <w:pgMar w:top="1440" w:right="0" w:bottom="144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5DBE" w14:textId="77777777" w:rsidR="00EC6A04" w:rsidRDefault="00EC6A04" w:rsidP="00CD1BC5">
      <w:pPr>
        <w:spacing w:after="0" w:line="240" w:lineRule="auto"/>
      </w:pPr>
      <w:r>
        <w:separator/>
      </w:r>
    </w:p>
  </w:endnote>
  <w:endnote w:type="continuationSeparator" w:id="0">
    <w:p w14:paraId="17A865C2" w14:textId="77777777" w:rsidR="00EC6A04" w:rsidRDefault="00EC6A04" w:rsidP="00CD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avi">
    <w:panose1 w:val="020B0502040204020203"/>
    <w:charset w:val="00"/>
    <w:family w:val="swiss"/>
    <w:pitch w:val="variable"/>
    <w:sig w:usb0="00020003" w:usb1="00000000" w:usb2="00000000" w:usb3="00000000" w:csb0="00000001" w:csb1="00000000"/>
  </w:font>
  <w:font w:name="ITC Avant Garde Std Md">
    <w:altName w:val="Times New Roman"/>
    <w:charset w:val="00"/>
    <w:family w:val="auto"/>
    <w:pitch w:val="variable"/>
  </w:font>
  <w:font w:name="Rooney Light">
    <w:altName w:val="Arial"/>
    <w:charset w:val="00"/>
    <w:family w:val="swiss"/>
    <w:pitch w:val="variable"/>
    <w:sig w:usb0="A000006F" w:usb1="4000204B"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46986"/>
      <w:docPartObj>
        <w:docPartGallery w:val="Page Numbers (Bottom of Page)"/>
        <w:docPartUnique/>
      </w:docPartObj>
    </w:sdtPr>
    <w:sdtEndPr>
      <w:rPr>
        <w:noProof/>
      </w:rPr>
    </w:sdtEndPr>
    <w:sdtContent>
      <w:p w14:paraId="40525971" w14:textId="77777777" w:rsidR="00CD1BC5" w:rsidRDefault="00CD1BC5">
        <w:pPr>
          <w:pStyle w:val="Footer"/>
          <w:jc w:val="center"/>
        </w:pPr>
        <w:r>
          <w:rPr>
            <w:lang w:val="fr-CA"/>
          </w:rPr>
          <w:fldChar w:fldCharType="begin"/>
        </w:r>
        <w:r>
          <w:rPr>
            <w:lang w:val="fr-CA"/>
          </w:rPr>
          <w:instrText xml:space="preserve"> PAGE   \* MERGEFORMAT </w:instrText>
        </w:r>
        <w:r>
          <w:rPr>
            <w:lang w:val="fr-CA"/>
          </w:rPr>
          <w:fldChar w:fldCharType="separate"/>
        </w:r>
        <w:r>
          <w:rPr>
            <w:noProof/>
            <w:lang w:val="fr-CA"/>
          </w:rPr>
          <w:t>1</w:t>
        </w:r>
        <w:r>
          <w:rPr>
            <w:noProof/>
            <w:lang w:val="fr-CA"/>
          </w:rPr>
          <w:fldChar w:fldCharType="end"/>
        </w:r>
      </w:p>
    </w:sdtContent>
  </w:sdt>
  <w:p w14:paraId="323E0B9C" w14:textId="77777777" w:rsidR="00CD1BC5" w:rsidRDefault="00CD1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1D5E" w14:textId="77777777" w:rsidR="00EC6A04" w:rsidRDefault="00EC6A04" w:rsidP="00CD1BC5">
      <w:pPr>
        <w:spacing w:after="0" w:line="240" w:lineRule="auto"/>
      </w:pPr>
      <w:r>
        <w:separator/>
      </w:r>
    </w:p>
  </w:footnote>
  <w:footnote w:type="continuationSeparator" w:id="0">
    <w:p w14:paraId="4DA340F5" w14:textId="77777777" w:rsidR="00EC6A04" w:rsidRDefault="00EC6A04" w:rsidP="00CD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8B8B" w14:textId="77267729" w:rsidR="005616E0" w:rsidRDefault="003E2875">
    <w:pPr>
      <w:pStyle w:val="Header"/>
    </w:pPr>
    <w:r>
      <w:rPr>
        <w:noProof/>
      </w:rPr>
      <w:pict w14:anchorId="4B362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3236" o:spid="_x0000_s1025" type="#_x0000_t136" style="position:absolute;margin-left:0;margin-top:0;width:396pt;height:128.4pt;z-index:-251658752;mso-position-horizontal:center;mso-position-horizontal-relative:margin;mso-position-vertical:center;mso-position-vertical-relative:margin" o:allowincell="f" fillcolor="#bfbfbf [2412]" stroked="f">
          <v:textpath style="font-family:&quot;Calibri&quot;;font-size:105pt" string="EXE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634F7"/>
    <w:multiLevelType w:val="hybridMultilevel"/>
    <w:tmpl w:val="A156CC94"/>
    <w:lvl w:ilvl="0" w:tplc="CDD4DD90">
      <w:start w:val="1"/>
      <w:numFmt w:val="upperLetter"/>
      <w:lvlText w:val="%1."/>
      <w:lvlJc w:val="left"/>
      <w:pPr>
        <w:ind w:left="1465" w:hanging="361"/>
      </w:pPr>
      <w:rPr>
        <w:rFonts w:ascii="Calibri" w:eastAsia="Calibri" w:hAnsi="Calibri" w:cs="Calibri" w:hint="default"/>
        <w:b/>
        <w:bCs/>
        <w:i w:val="0"/>
        <w:iCs w:val="0"/>
        <w:w w:val="100"/>
        <w:sz w:val="28"/>
        <w:szCs w:val="28"/>
        <w:u w:val="single" w:color="5B9BD5" w:themeColor="accent1"/>
        <w:lang w:val="en-US" w:eastAsia="en-US" w:bidi="ar-SA"/>
      </w:rPr>
    </w:lvl>
    <w:lvl w:ilvl="1" w:tplc="3BFA58DE">
      <w:start w:val="1"/>
      <w:numFmt w:val="decimal"/>
      <w:lvlText w:val="%2)"/>
      <w:lvlJc w:val="left"/>
      <w:pPr>
        <w:ind w:left="1825" w:hanging="360"/>
      </w:pPr>
      <w:rPr>
        <w:rFonts w:hint="default"/>
        <w:spacing w:val="-2"/>
        <w:w w:val="100"/>
        <w:lang w:val="en-US" w:eastAsia="en-US" w:bidi="ar-SA"/>
      </w:rPr>
    </w:lvl>
    <w:lvl w:ilvl="2" w:tplc="B8C01120">
      <w:numFmt w:val="bullet"/>
      <w:lvlText w:val="•"/>
      <w:lvlJc w:val="left"/>
      <w:pPr>
        <w:ind w:left="2977" w:hanging="360"/>
      </w:pPr>
      <w:rPr>
        <w:rFonts w:hint="default"/>
        <w:lang w:val="en-US" w:eastAsia="en-US" w:bidi="ar-SA"/>
      </w:rPr>
    </w:lvl>
    <w:lvl w:ilvl="3" w:tplc="3D6A58B6">
      <w:numFmt w:val="bullet"/>
      <w:lvlText w:val="•"/>
      <w:lvlJc w:val="left"/>
      <w:pPr>
        <w:ind w:left="4135" w:hanging="360"/>
      </w:pPr>
      <w:rPr>
        <w:rFonts w:hint="default"/>
        <w:lang w:val="en-US" w:eastAsia="en-US" w:bidi="ar-SA"/>
      </w:rPr>
    </w:lvl>
    <w:lvl w:ilvl="4" w:tplc="B5307F78">
      <w:numFmt w:val="bullet"/>
      <w:lvlText w:val="•"/>
      <w:lvlJc w:val="left"/>
      <w:pPr>
        <w:ind w:left="5293" w:hanging="360"/>
      </w:pPr>
      <w:rPr>
        <w:rFonts w:hint="default"/>
        <w:lang w:val="en-US" w:eastAsia="en-US" w:bidi="ar-SA"/>
      </w:rPr>
    </w:lvl>
    <w:lvl w:ilvl="5" w:tplc="86F60150">
      <w:numFmt w:val="bullet"/>
      <w:lvlText w:val="•"/>
      <w:lvlJc w:val="left"/>
      <w:pPr>
        <w:ind w:left="6451" w:hanging="360"/>
      </w:pPr>
      <w:rPr>
        <w:rFonts w:hint="default"/>
        <w:lang w:val="en-US" w:eastAsia="en-US" w:bidi="ar-SA"/>
      </w:rPr>
    </w:lvl>
    <w:lvl w:ilvl="6" w:tplc="A32A333A">
      <w:numFmt w:val="bullet"/>
      <w:lvlText w:val="•"/>
      <w:lvlJc w:val="left"/>
      <w:pPr>
        <w:ind w:left="7608" w:hanging="360"/>
      </w:pPr>
      <w:rPr>
        <w:rFonts w:hint="default"/>
        <w:lang w:val="en-US" w:eastAsia="en-US" w:bidi="ar-SA"/>
      </w:rPr>
    </w:lvl>
    <w:lvl w:ilvl="7" w:tplc="C2CEDD98">
      <w:numFmt w:val="bullet"/>
      <w:lvlText w:val="•"/>
      <w:lvlJc w:val="left"/>
      <w:pPr>
        <w:ind w:left="8766" w:hanging="360"/>
      </w:pPr>
      <w:rPr>
        <w:rFonts w:hint="default"/>
        <w:lang w:val="en-US" w:eastAsia="en-US" w:bidi="ar-SA"/>
      </w:rPr>
    </w:lvl>
    <w:lvl w:ilvl="8" w:tplc="C3D44C5E">
      <w:numFmt w:val="bullet"/>
      <w:lvlText w:val="•"/>
      <w:lvlJc w:val="left"/>
      <w:pPr>
        <w:ind w:left="9924" w:hanging="360"/>
      </w:pPr>
      <w:rPr>
        <w:rFonts w:hint="default"/>
        <w:lang w:val="en-US" w:eastAsia="en-US" w:bidi="ar-SA"/>
      </w:rPr>
    </w:lvl>
  </w:abstractNum>
  <w:num w:numId="1" w16cid:durableId="130103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66"/>
    <w:rsid w:val="000A54D0"/>
    <w:rsid w:val="000E572A"/>
    <w:rsid w:val="001370D7"/>
    <w:rsid w:val="001632E3"/>
    <w:rsid w:val="001A03E1"/>
    <w:rsid w:val="00206C95"/>
    <w:rsid w:val="003379B7"/>
    <w:rsid w:val="00364072"/>
    <w:rsid w:val="003830EB"/>
    <w:rsid w:val="003E2875"/>
    <w:rsid w:val="003F1259"/>
    <w:rsid w:val="004F63B8"/>
    <w:rsid w:val="00556965"/>
    <w:rsid w:val="00560526"/>
    <w:rsid w:val="005616E0"/>
    <w:rsid w:val="006A61B7"/>
    <w:rsid w:val="006F13F2"/>
    <w:rsid w:val="007B07FE"/>
    <w:rsid w:val="007F350F"/>
    <w:rsid w:val="00892A56"/>
    <w:rsid w:val="00992710"/>
    <w:rsid w:val="009C7AC3"/>
    <w:rsid w:val="00A158DF"/>
    <w:rsid w:val="00B5032A"/>
    <w:rsid w:val="00C40F08"/>
    <w:rsid w:val="00CD1BC5"/>
    <w:rsid w:val="00CF0098"/>
    <w:rsid w:val="00DF619B"/>
    <w:rsid w:val="00DF7E66"/>
    <w:rsid w:val="00EC6A04"/>
    <w:rsid w:val="00EE5227"/>
    <w:rsid w:val="00F37BA0"/>
  </w:rsids>
  <m:mathPr>
    <m:mathFont m:val="Cambria Math"/>
    <m:brkBin m:val="before"/>
    <m:brkBinSub m:val="--"/>
    <m:smallFrac m:val="0"/>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42BCD"/>
  <w15:chartTrackingRefBased/>
  <w15:docId w15:val="{9D9DE95C-C85E-49F3-B23A-44563A4C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C5"/>
  </w:style>
  <w:style w:type="paragraph" w:styleId="Footer">
    <w:name w:val="footer"/>
    <w:basedOn w:val="Normal"/>
    <w:link w:val="FooterChar"/>
    <w:uiPriority w:val="99"/>
    <w:unhideWhenUsed/>
    <w:rsid w:val="00CD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C5"/>
  </w:style>
  <w:style w:type="paragraph" w:styleId="Revision">
    <w:name w:val="Revision"/>
    <w:hidden/>
    <w:uiPriority w:val="99"/>
    <w:semiHidden/>
    <w:rsid w:val="00364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70263e2d73553929a2416305b3964a6c">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9e19bfef34c22b0e509fbba024dd6551"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32C94-E21F-4EDD-A738-DF43E64533CB}"/>
</file>

<file path=customXml/itemProps2.xml><?xml version="1.0" encoding="utf-8"?>
<ds:datastoreItem xmlns:ds="http://schemas.openxmlformats.org/officeDocument/2006/customXml" ds:itemID="{BAE2E37F-9F21-466F-8651-1FC93405CDB9}"/>
</file>

<file path=customXml/itemProps3.xml><?xml version="1.0" encoding="utf-8"?>
<ds:datastoreItem xmlns:ds="http://schemas.openxmlformats.org/officeDocument/2006/customXml" ds:itemID="{2A5538D0-B590-400D-B72C-457702F43952}"/>
</file>

<file path=docProps/app.xml><?xml version="1.0" encoding="utf-8"?>
<Properties xmlns="http://schemas.openxmlformats.org/officeDocument/2006/extended-properties" xmlns:vt="http://schemas.openxmlformats.org/officeDocument/2006/docPropsVTypes">
  <Template>Normal.dotm</Template>
  <TotalTime>36</TotalTime>
  <Pages>2</Pages>
  <Words>551</Words>
  <Characters>2982</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Keating</dc:creator>
  <cp:keywords/>
  <dc:description/>
  <cp:lastModifiedBy>Pascale - Parenty Reitmeier</cp:lastModifiedBy>
  <cp:revision>11</cp:revision>
  <dcterms:created xsi:type="dcterms:W3CDTF">2022-09-26T16:36:00Z</dcterms:created>
  <dcterms:modified xsi:type="dcterms:W3CDTF">2026-01-22T14:57:00Z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ies>
</file>