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34D" w14:textId="77777777" w:rsidR="00B86124" w:rsidRPr="008550E4" w:rsidRDefault="00B86124" w:rsidP="00B86124">
      <w:pPr>
        <w:widowControl w:val="0"/>
        <w:autoSpaceDE w:val="0"/>
        <w:autoSpaceDN w:val="0"/>
        <w:spacing w:before="93" w:after="0" w:line="240" w:lineRule="auto"/>
        <w:ind w:left="1080"/>
        <w:outlineLvl w:val="0"/>
        <w:rPr>
          <w:rFonts w:ascii="Calibri" w:eastAsia="ITC Avant Garde Std Md" w:hAnsi="Calibri" w:cs="Calibri"/>
          <w:sz w:val="36"/>
          <w:szCs w:val="36"/>
          <w:lang w:val="fr-CA"/>
        </w:rPr>
      </w:pPr>
      <w:bookmarkStart w:id="0" w:name="_TOC_250016"/>
      <w:r>
        <w:rPr>
          <w:rFonts w:ascii="Calibri" w:eastAsia="ITC Avant Garde Std Md" w:hAnsi="Calibri" w:cs="Calibri"/>
          <w:color w:val="004E7D"/>
          <w:sz w:val="36"/>
          <w:szCs w:val="36"/>
          <w:lang w:val="fr-CA"/>
        </w:rPr>
        <w:t xml:space="preserve">Énoncé de politique de retour au travail – </w:t>
      </w:r>
      <w:bookmarkEnd w:id="0"/>
      <w:r>
        <w:rPr>
          <w:rFonts w:ascii="Calibri" w:eastAsia="ITC Avant Garde Std Md" w:hAnsi="Calibri" w:cs="Calibri"/>
          <w:color w:val="004E7D"/>
          <w:sz w:val="36"/>
          <w:szCs w:val="36"/>
          <w:lang w:val="fr-CA"/>
        </w:rPr>
        <w:t>Exemple</w:t>
      </w:r>
    </w:p>
    <w:p w14:paraId="2528EA86" w14:textId="77777777" w:rsidR="00B86124" w:rsidRPr="008550E4" w:rsidRDefault="00B86124" w:rsidP="00B86124">
      <w:pPr>
        <w:widowControl w:val="0"/>
        <w:autoSpaceDE w:val="0"/>
        <w:autoSpaceDN w:val="0"/>
        <w:spacing w:before="7" w:after="0" w:line="240" w:lineRule="auto"/>
        <w:rPr>
          <w:rFonts w:ascii="ITC Avant Garde Std Md" w:eastAsia="Rooney Light" w:hAnsi="Rooney Light" w:cs="Rooney Light"/>
          <w:sz w:val="27"/>
          <w:szCs w:val="20"/>
          <w:lang w:val="fr-CA"/>
        </w:rPr>
      </w:pPr>
    </w:p>
    <w:p w14:paraId="2DB9E355" w14:textId="77777777" w:rsidR="00B86124" w:rsidRPr="008550E4" w:rsidRDefault="00B86124" w:rsidP="00B86124">
      <w:pPr>
        <w:widowControl w:val="0"/>
        <w:autoSpaceDE w:val="0"/>
        <w:autoSpaceDN w:val="0"/>
        <w:spacing w:before="20" w:after="0" w:line="240" w:lineRule="auto"/>
        <w:ind w:left="1076"/>
        <w:rPr>
          <w:rFonts w:ascii="Calibri" w:eastAsia="Rooney Light" w:hAnsi="Rooney Light" w:cs="Rooney Light"/>
          <w:sz w:val="40"/>
          <w:lang w:val="fr-CA"/>
        </w:rPr>
      </w:pPr>
      <w:r>
        <w:rPr>
          <w:rFonts w:ascii="Calibri" w:eastAsia="Rooney Light" w:hAnsi="Calibri" w:cs="Rooney Light"/>
          <w:color w:val="58595B"/>
          <w:sz w:val="40"/>
          <w:lang w:val="fr-CA"/>
        </w:rPr>
        <w:t>ÉNONCÉ</w:t>
      </w:r>
    </w:p>
    <w:p w14:paraId="4F5306C0" w14:textId="77777777" w:rsidR="00B86124" w:rsidRPr="008550E4" w:rsidRDefault="00B86124" w:rsidP="00B86124">
      <w:pPr>
        <w:widowControl w:val="0"/>
        <w:autoSpaceDE w:val="0"/>
        <w:autoSpaceDN w:val="0"/>
        <w:spacing w:before="341" w:after="0" w:line="240" w:lineRule="auto"/>
        <w:ind w:left="1076" w:right="1757"/>
        <w:rPr>
          <w:rFonts w:ascii="Calibri" w:eastAsia="Rooney Light" w:hAnsi="Rooney Light" w:cs="Rooney Light"/>
          <w:sz w:val="28"/>
          <w:lang w:val="fr-CA"/>
        </w:rPr>
      </w:pPr>
      <w:r>
        <w:rPr>
          <w:rFonts w:ascii="Calibri" w:eastAsia="Rooney Light" w:hAnsi="Calibri" w:cs="Rooney Light"/>
          <w:sz w:val="28"/>
          <w:lang w:val="fr-CA"/>
        </w:rPr>
        <w:t>La politique de retour au travail décrit le programme conçu pour soutenir les travailleurs incapables d’assumer leurs tâches ordinaires en raison d’une blessure ou d’une maladie. Le programme de retour au travail vise à aider les travailleurs à reprendre le travail de façon sécuritaire à la première occasion raisonnable après une blessure ou une maladie en occupant un poste aux tâches modifiées ou différentes sur une base temporaire. Le retour au travail s’effectuera de pair avec le fournisseur de soins de santé, ainsi que le syndicat et la Commission des accidents du travail du Manitoba (la WCB), le cas échéant.</w:t>
      </w:r>
    </w:p>
    <w:p w14:paraId="3F36C98B" w14:textId="77777777" w:rsidR="00B86124" w:rsidRPr="008550E4" w:rsidRDefault="00B86124" w:rsidP="00B86124">
      <w:pPr>
        <w:widowControl w:val="0"/>
        <w:autoSpaceDE w:val="0"/>
        <w:autoSpaceDN w:val="0"/>
        <w:spacing w:before="1" w:after="0" w:line="240" w:lineRule="auto"/>
        <w:rPr>
          <w:rFonts w:ascii="Calibri" w:eastAsia="Rooney Light" w:hAnsi="Rooney Light" w:cs="Rooney Light"/>
          <w:sz w:val="28"/>
          <w:szCs w:val="20"/>
          <w:lang w:val="fr-CA"/>
        </w:rPr>
      </w:pPr>
    </w:p>
    <w:p w14:paraId="33DEB283" w14:textId="0CCC452B" w:rsidR="00B86124" w:rsidRPr="00BD7633" w:rsidRDefault="00B86124" w:rsidP="00B86124">
      <w:pPr>
        <w:widowControl w:val="0"/>
        <w:autoSpaceDE w:val="0"/>
        <w:autoSpaceDN w:val="0"/>
        <w:spacing w:after="0" w:line="240" w:lineRule="auto"/>
        <w:ind w:left="1076" w:right="1757"/>
        <w:rPr>
          <w:rFonts w:ascii="Calibri" w:eastAsia="Rooney Light" w:hAnsi="Rooney Light" w:cs="Rooney Light"/>
          <w:color w:val="58595B"/>
          <w:sz w:val="28"/>
          <w:lang w:val="fr-CA"/>
        </w:rPr>
      </w:pPr>
      <w:r w:rsidRPr="00BD7633">
        <w:rPr>
          <w:rFonts w:ascii="Calibri" w:eastAsia="Rooney Light" w:hAnsi="Calibri" w:cs="Rooney Light"/>
          <w:sz w:val="28"/>
          <w:lang w:val="fr-CA"/>
        </w:rPr>
        <w:t>E</w:t>
      </w:r>
      <w:r w:rsidRPr="00BD7633">
        <w:rPr>
          <w:rFonts w:ascii="Calibri" w:eastAsia="Rooney Light" w:hAnsi="Calibri" w:cs="Rooney Light"/>
          <w:color w:val="58595B"/>
          <w:sz w:val="28"/>
          <w:lang w:val="fr-CA"/>
        </w:rPr>
        <w:t>n offrant au travailleur des tâches modifiées ou différentes qui sont sécuritaires et adaptées à sa situation, le programme permet au travailleur de demeurer un membre productif de la main-d’œuvre pendant sa guérison.</w:t>
      </w:r>
    </w:p>
    <w:p w14:paraId="01731D57" w14:textId="77777777" w:rsidR="00B86124" w:rsidRPr="00BD7633" w:rsidRDefault="00B86124" w:rsidP="00B86124">
      <w:pPr>
        <w:widowControl w:val="0"/>
        <w:autoSpaceDE w:val="0"/>
        <w:autoSpaceDN w:val="0"/>
        <w:spacing w:after="0" w:line="240" w:lineRule="auto"/>
        <w:rPr>
          <w:rFonts w:ascii="Calibri" w:eastAsia="Rooney Light" w:hAnsi="Rooney Light" w:cs="Rooney Light"/>
          <w:color w:val="58595B"/>
          <w:sz w:val="28"/>
          <w:szCs w:val="20"/>
          <w:lang w:val="fr-CA"/>
        </w:rPr>
      </w:pPr>
    </w:p>
    <w:p w14:paraId="38394C9A" w14:textId="77777777" w:rsidR="00B86124" w:rsidRPr="00BD7633" w:rsidRDefault="00B86124" w:rsidP="00B86124">
      <w:pPr>
        <w:widowControl w:val="0"/>
        <w:autoSpaceDE w:val="0"/>
        <w:autoSpaceDN w:val="0"/>
        <w:spacing w:after="0" w:line="240" w:lineRule="auto"/>
        <w:ind w:left="1076"/>
        <w:rPr>
          <w:rFonts w:ascii="Calibri" w:eastAsia="Rooney Light" w:hAnsi="Rooney Light" w:cs="Rooney Light"/>
          <w:color w:val="58595B"/>
          <w:sz w:val="32"/>
        </w:rPr>
      </w:pPr>
      <w:r w:rsidRPr="00BD7633">
        <w:rPr>
          <w:rFonts w:ascii="Calibri" w:eastAsia="Rooney Light" w:hAnsi="Calibri" w:cs="Rooney Light"/>
          <w:color w:val="58595B"/>
          <w:sz w:val="32"/>
          <w:lang w:val="fr-CA"/>
        </w:rPr>
        <w:t>Objectifs</w:t>
      </w:r>
    </w:p>
    <w:p w14:paraId="093C7A0E" w14:textId="77777777" w:rsidR="00B86124" w:rsidRPr="00B86124" w:rsidRDefault="00B86124" w:rsidP="00B86124">
      <w:pPr>
        <w:widowControl w:val="0"/>
        <w:autoSpaceDE w:val="0"/>
        <w:autoSpaceDN w:val="0"/>
        <w:spacing w:after="0" w:line="240" w:lineRule="auto"/>
        <w:rPr>
          <w:rFonts w:ascii="Calibri" w:eastAsia="Rooney Light" w:hAnsi="Rooney Light" w:cs="Rooney Light"/>
          <w:sz w:val="24"/>
          <w:szCs w:val="20"/>
        </w:rPr>
      </w:pPr>
    </w:p>
    <w:p w14:paraId="70231C50" w14:textId="77777777" w:rsidR="00B86124" w:rsidRPr="008550E4" w:rsidRDefault="00B86124" w:rsidP="00B86124">
      <w:pPr>
        <w:widowControl w:val="0"/>
        <w:numPr>
          <w:ilvl w:val="0"/>
          <w:numId w:val="1"/>
        </w:numPr>
        <w:tabs>
          <w:tab w:val="left" w:pos="1798"/>
        </w:tabs>
        <w:autoSpaceDE w:val="0"/>
        <w:autoSpaceDN w:val="0"/>
        <w:spacing w:before="1" w:after="0" w:line="240" w:lineRule="auto"/>
        <w:ind w:right="2378"/>
        <w:rPr>
          <w:rFonts w:ascii="Calibri" w:eastAsia="Rooney Light" w:hAnsi="Calibri" w:cs="Rooney Light"/>
          <w:sz w:val="28"/>
          <w:lang w:val="fr-CA"/>
        </w:rPr>
      </w:pPr>
      <w:r>
        <w:rPr>
          <w:rFonts w:ascii="Calibri" w:eastAsia="Rooney Light" w:hAnsi="Calibri" w:cs="Rooney Light"/>
          <w:color w:val="58595B"/>
          <w:sz w:val="28"/>
          <w:lang w:val="fr-CA"/>
        </w:rPr>
        <w:t>Offrir une adaptation sécuritaire et convenable des tâches afin de réduire les effets physiques, cognitifs et émotionnels de la maladie ou de la blessure du travailleur.</w:t>
      </w:r>
    </w:p>
    <w:p w14:paraId="0E020FDE" w14:textId="77777777" w:rsidR="00B86124" w:rsidRPr="008550E4" w:rsidRDefault="00B86124" w:rsidP="00B86124">
      <w:pPr>
        <w:widowControl w:val="0"/>
        <w:numPr>
          <w:ilvl w:val="0"/>
          <w:numId w:val="1"/>
        </w:numPr>
        <w:tabs>
          <w:tab w:val="left" w:pos="1798"/>
        </w:tabs>
        <w:autoSpaceDE w:val="0"/>
        <w:autoSpaceDN w:val="0"/>
        <w:spacing w:before="1" w:after="0" w:line="240" w:lineRule="auto"/>
        <w:ind w:right="2266"/>
        <w:rPr>
          <w:rFonts w:ascii="Calibri" w:eastAsia="Rooney Light" w:hAnsi="Calibri" w:cs="Rooney Light"/>
          <w:sz w:val="28"/>
          <w:lang w:val="fr-CA"/>
        </w:rPr>
      </w:pPr>
      <w:r>
        <w:rPr>
          <w:rFonts w:ascii="Calibri" w:eastAsia="Rooney Light" w:hAnsi="Calibri" w:cs="Rooney Light"/>
          <w:color w:val="58595B"/>
          <w:sz w:val="28"/>
          <w:lang w:val="fr-CA"/>
        </w:rPr>
        <w:t>Permettre au travailleur blessé ou malade de reprendre des tâches et des gains se rapprochant le plus possible de ceux de sa situation avant la blessure ou la maladie.</w:t>
      </w:r>
    </w:p>
    <w:p w14:paraId="00277338" w14:textId="25621BDF" w:rsidR="00B86124" w:rsidRPr="008550E4" w:rsidRDefault="00B86124" w:rsidP="00B86124">
      <w:pPr>
        <w:widowControl w:val="0"/>
        <w:numPr>
          <w:ilvl w:val="0"/>
          <w:numId w:val="1"/>
        </w:numPr>
        <w:tabs>
          <w:tab w:val="left" w:pos="1798"/>
        </w:tabs>
        <w:autoSpaceDE w:val="0"/>
        <w:autoSpaceDN w:val="0"/>
        <w:spacing w:after="0" w:line="240" w:lineRule="auto"/>
        <w:ind w:right="2069"/>
        <w:rPr>
          <w:rFonts w:ascii="Calibri" w:eastAsia="Rooney Light" w:hAnsi="Calibri" w:cs="Rooney Light"/>
          <w:sz w:val="28"/>
          <w:lang w:val="fr-CA"/>
        </w:rPr>
      </w:pPr>
      <w:r>
        <w:rPr>
          <w:rFonts w:ascii="Calibri" w:eastAsia="Rooney Light" w:hAnsi="Calibri" w:cs="Rooney Light"/>
          <w:color w:val="58595B"/>
          <w:sz w:val="28"/>
          <w:lang w:val="fr-CA"/>
        </w:rPr>
        <w:t xml:space="preserve">Veiller à ce que le plan de retour au travail du travailleur soit conforme aux exigences précisées par l’employeur dans la convention collective et à toutes les lois applicables, notamment les obligations en vertu de la </w:t>
      </w:r>
      <w:r w:rsidR="00BD7633">
        <w:rPr>
          <w:rFonts w:ascii="Calibri" w:eastAsia="Rooney Light" w:hAnsi="Calibri" w:cs="Rooney Light"/>
          <w:color w:val="58595B"/>
          <w:sz w:val="28"/>
          <w:lang w:val="fr-CA"/>
        </w:rPr>
        <w:br/>
      </w:r>
      <w:r>
        <w:rPr>
          <w:rFonts w:ascii="Calibri" w:eastAsia="Rooney Light" w:hAnsi="Calibri" w:cs="Rooney Light"/>
          <w:i/>
          <w:iCs/>
          <w:color w:val="58595B"/>
          <w:sz w:val="28"/>
          <w:lang w:val="fr-CA"/>
        </w:rPr>
        <w:t>Loi sur les accidents du travail</w:t>
      </w:r>
      <w:r>
        <w:rPr>
          <w:rFonts w:ascii="Calibri" w:eastAsia="Rooney Light" w:hAnsi="Calibri" w:cs="Rooney Light"/>
          <w:color w:val="58595B"/>
          <w:sz w:val="28"/>
          <w:lang w:val="fr-CA"/>
        </w:rPr>
        <w:t>.</w:t>
      </w:r>
    </w:p>
    <w:p w14:paraId="047BEE55" w14:textId="77777777" w:rsidR="00B86124" w:rsidRPr="008550E4" w:rsidRDefault="00B86124" w:rsidP="00B86124">
      <w:pPr>
        <w:widowControl w:val="0"/>
        <w:numPr>
          <w:ilvl w:val="0"/>
          <w:numId w:val="1"/>
        </w:numPr>
        <w:tabs>
          <w:tab w:val="left" w:pos="1798"/>
        </w:tabs>
        <w:autoSpaceDE w:val="0"/>
        <w:autoSpaceDN w:val="0"/>
        <w:spacing w:after="0" w:line="240" w:lineRule="auto"/>
        <w:ind w:right="2141"/>
        <w:rPr>
          <w:rFonts w:ascii="Calibri" w:eastAsia="Rooney Light" w:hAnsi="Calibri" w:cs="Rooney Light"/>
          <w:sz w:val="28"/>
          <w:lang w:val="fr-CA"/>
        </w:rPr>
      </w:pPr>
      <w:r>
        <w:rPr>
          <w:rFonts w:ascii="Calibri" w:eastAsia="Rooney Light" w:hAnsi="Calibri" w:cs="Rooney Light"/>
          <w:color w:val="58595B"/>
          <w:sz w:val="28"/>
          <w:lang w:val="fr-CA"/>
        </w:rPr>
        <w:t>Éviter le risque de rechute ou de nouvelle blessure grâce à des tâches sécuritaires et adéquates, et à un suivi efficace.</w:t>
      </w:r>
    </w:p>
    <w:p w14:paraId="2172F532" w14:textId="60587BD3" w:rsidR="00B86124" w:rsidRPr="008550E4" w:rsidRDefault="00B86124" w:rsidP="00B86124">
      <w:pPr>
        <w:widowControl w:val="0"/>
        <w:numPr>
          <w:ilvl w:val="0"/>
          <w:numId w:val="1"/>
        </w:numPr>
        <w:tabs>
          <w:tab w:val="left" w:pos="1798"/>
        </w:tabs>
        <w:autoSpaceDE w:val="0"/>
        <w:autoSpaceDN w:val="0"/>
        <w:spacing w:after="0" w:line="242" w:lineRule="auto"/>
        <w:ind w:right="1937"/>
        <w:rPr>
          <w:rFonts w:ascii="Calibri" w:eastAsia="Rooney Light" w:hAnsi="Calibri" w:cs="Rooney Light"/>
          <w:sz w:val="28"/>
          <w:lang w:val="fr-CA"/>
        </w:rPr>
      </w:pPr>
      <w:r>
        <w:rPr>
          <w:rFonts w:ascii="Calibri" w:eastAsia="Rooney Light" w:hAnsi="Calibri" w:cs="Rooney Light"/>
          <w:color w:val="58595B"/>
          <w:sz w:val="28"/>
          <w:lang w:val="fr-CA"/>
        </w:rPr>
        <w:t xml:space="preserve">Aider le travailleur à regagner son environnement de travail ordinaire </w:t>
      </w:r>
      <w:r w:rsidR="00BD7633">
        <w:rPr>
          <w:rFonts w:ascii="Calibri" w:eastAsia="Rooney Light" w:hAnsi="Calibri" w:cs="Rooney Light"/>
          <w:color w:val="58595B"/>
          <w:sz w:val="28"/>
          <w:lang w:val="fr-CA"/>
        </w:rPr>
        <w:br/>
      </w:r>
      <w:r>
        <w:rPr>
          <w:rFonts w:ascii="Calibri" w:eastAsia="Rooney Light" w:hAnsi="Calibri" w:cs="Rooney Light"/>
          <w:color w:val="58595B"/>
          <w:sz w:val="28"/>
          <w:lang w:val="fr-CA"/>
        </w:rPr>
        <w:t>de façon sécuritaire et en temps opportun.</w:t>
      </w:r>
    </w:p>
    <w:p w14:paraId="5235377F" w14:textId="77777777" w:rsidR="00B86124" w:rsidRPr="008550E4" w:rsidRDefault="00B86124" w:rsidP="00B86124">
      <w:pPr>
        <w:widowControl w:val="0"/>
        <w:numPr>
          <w:ilvl w:val="0"/>
          <w:numId w:val="1"/>
        </w:numPr>
        <w:tabs>
          <w:tab w:val="left" w:pos="1799"/>
        </w:tabs>
        <w:autoSpaceDE w:val="0"/>
        <w:autoSpaceDN w:val="0"/>
        <w:spacing w:after="0" w:line="336" w:lineRule="exact"/>
        <w:ind w:left="1798"/>
        <w:rPr>
          <w:rFonts w:ascii="Calibri" w:eastAsia="Rooney Light" w:hAnsi="Calibri" w:cs="Rooney Light"/>
          <w:sz w:val="28"/>
          <w:lang w:val="fr-CA"/>
        </w:rPr>
      </w:pPr>
      <w:r>
        <w:rPr>
          <w:rFonts w:ascii="Calibri" w:eastAsia="Rooney Light" w:hAnsi="Calibri" w:cs="Rooney Light"/>
          <w:color w:val="58595B"/>
          <w:sz w:val="28"/>
          <w:lang w:val="fr-CA"/>
        </w:rPr>
        <w:t>Maintenir les objectifs et la productivité de l’organisation.</w:t>
      </w:r>
    </w:p>
    <w:p w14:paraId="5E9EDCDD" w14:textId="77777777" w:rsidR="00B86124" w:rsidRPr="008550E4" w:rsidRDefault="00B86124" w:rsidP="00B86124">
      <w:pPr>
        <w:widowControl w:val="0"/>
        <w:autoSpaceDE w:val="0"/>
        <w:autoSpaceDN w:val="0"/>
        <w:spacing w:before="1" w:after="0" w:line="240" w:lineRule="auto"/>
        <w:rPr>
          <w:rFonts w:ascii="Calibri" w:eastAsia="Rooney Light" w:hAnsi="Rooney Light" w:cs="Rooney Light"/>
          <w:sz w:val="32"/>
          <w:szCs w:val="20"/>
          <w:lang w:val="fr-CA"/>
        </w:rPr>
      </w:pPr>
    </w:p>
    <w:p w14:paraId="0F8BE4A7" w14:textId="5A8B2CAB" w:rsidR="005C17E2" w:rsidRPr="008550E4" w:rsidRDefault="00B86124" w:rsidP="004C42B6">
      <w:pPr>
        <w:widowControl w:val="0"/>
        <w:autoSpaceDE w:val="0"/>
        <w:autoSpaceDN w:val="0"/>
        <w:spacing w:before="1" w:after="0" w:line="240" w:lineRule="auto"/>
        <w:jc w:val="center"/>
        <w:rPr>
          <w:lang w:val="fr-CA"/>
        </w:rPr>
      </w:pPr>
      <w:r>
        <w:rPr>
          <w:rFonts w:ascii="Calibri" w:eastAsia="Rooney Light" w:hAnsi="Calibri" w:cs="Rooney Light"/>
          <w:sz w:val="32"/>
          <w:lang w:val="fr-CA"/>
        </w:rPr>
        <w:t xml:space="preserve">Pour consulter la politique et les procédures intégrales de retour </w:t>
      </w:r>
      <w:r w:rsidR="00BD7633">
        <w:rPr>
          <w:rFonts w:ascii="Calibri" w:eastAsia="Rooney Light" w:hAnsi="Calibri" w:cs="Rooney Light"/>
          <w:sz w:val="32"/>
          <w:lang w:val="fr-CA"/>
        </w:rPr>
        <w:br/>
      </w:r>
      <w:r>
        <w:rPr>
          <w:rFonts w:ascii="Calibri" w:eastAsia="Rooney Light" w:hAnsi="Calibri" w:cs="Rooney Light"/>
          <w:sz w:val="32"/>
          <w:lang w:val="fr-CA"/>
        </w:rPr>
        <w:t xml:space="preserve">au travail, prière de vous reporter à : </w:t>
      </w:r>
      <w:r>
        <w:rPr>
          <w:rFonts w:ascii="Calibri" w:eastAsia="Rooney Light" w:hAnsi="Calibri" w:cs="Rooney Light"/>
          <w:color w:val="FF0000"/>
          <w:sz w:val="32"/>
          <w:lang w:val="fr-CA"/>
        </w:rPr>
        <w:t xml:space="preserve">(À REMPLIR) </w:t>
      </w:r>
      <w:r>
        <w:rPr>
          <w:rFonts w:ascii="Calibri" w:eastAsia="Rooney Light" w:hAnsi="Calibri" w:cs="Rooney Light"/>
          <w:sz w:val="32"/>
          <w:lang w:val="fr-CA"/>
        </w:rPr>
        <w:t xml:space="preserve">situé ici : </w:t>
      </w:r>
      <w:r>
        <w:rPr>
          <w:rFonts w:ascii="Calibri" w:eastAsia="Rooney Light" w:hAnsi="Calibri" w:cs="Rooney Light"/>
          <w:color w:val="FF0000"/>
          <w:sz w:val="32"/>
          <w:lang w:val="fr-CA"/>
        </w:rPr>
        <w:t>(À</w:t>
      </w:r>
      <w:r w:rsidR="001E535A">
        <w:rPr>
          <w:rFonts w:ascii="Calibri" w:eastAsia="Rooney Light" w:hAnsi="Calibri" w:cs="Rooney Light"/>
          <w:color w:val="FF0000"/>
          <w:sz w:val="32"/>
          <w:lang w:val="fr-CA"/>
        </w:rPr>
        <w:t> </w:t>
      </w:r>
      <w:r>
        <w:rPr>
          <w:rFonts w:ascii="Calibri" w:eastAsia="Rooney Light" w:hAnsi="Calibri" w:cs="Rooney Light"/>
          <w:color w:val="FF0000"/>
          <w:sz w:val="32"/>
          <w:lang w:val="fr-CA"/>
        </w:rPr>
        <w:t>REMPLIR)</w:t>
      </w:r>
      <w:r>
        <w:rPr>
          <w:rFonts w:ascii="Calibri" w:eastAsia="Rooney Light" w:hAnsi="Calibri" w:cs="Rooney Light"/>
          <w:sz w:val="32"/>
          <w:lang w:val="fr-CA"/>
        </w:rPr>
        <w:t>.</w:t>
      </w:r>
    </w:p>
    <w:sectPr w:rsidR="005C17E2" w:rsidRPr="008550E4" w:rsidSect="000D77A3">
      <w:headerReference w:type="even" r:id="rId7"/>
      <w:headerReference w:type="default" r:id="rId8"/>
      <w:headerReference w:type="first" r:id="rId9"/>
      <w:pgSz w:w="12240" w:h="15840"/>
      <w:pgMar w:top="1134" w:right="0" w:bottom="993" w:left="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6903" w14:textId="77777777" w:rsidR="00C77650" w:rsidRDefault="00C77650" w:rsidP="008550E4">
      <w:pPr>
        <w:spacing w:after="0" w:line="240" w:lineRule="auto"/>
      </w:pPr>
      <w:r>
        <w:separator/>
      </w:r>
    </w:p>
  </w:endnote>
  <w:endnote w:type="continuationSeparator" w:id="0">
    <w:p w14:paraId="7CAB2AD0" w14:textId="77777777" w:rsidR="00C77650" w:rsidRDefault="00C77650" w:rsidP="0085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ITC Avant Garde Std Md">
    <w:altName w:val="Times New Roman"/>
    <w:charset w:val="00"/>
    <w:family w:val="auto"/>
    <w:pitch w:val="variable"/>
  </w:font>
  <w:font w:name="Rooney Light">
    <w:altName w:val="Arial"/>
    <w:charset w:val="00"/>
    <w:family w:val="swiss"/>
    <w:pitch w:val="variable"/>
    <w:sig w:usb0="A000006F" w:usb1="4000204B"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F968" w14:textId="77777777" w:rsidR="00C77650" w:rsidRDefault="00C77650" w:rsidP="008550E4">
      <w:pPr>
        <w:spacing w:after="0" w:line="240" w:lineRule="auto"/>
      </w:pPr>
      <w:r>
        <w:separator/>
      </w:r>
    </w:p>
  </w:footnote>
  <w:footnote w:type="continuationSeparator" w:id="0">
    <w:p w14:paraId="01FB2357" w14:textId="77777777" w:rsidR="00C77650" w:rsidRDefault="00C77650" w:rsidP="00855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BF1A" w14:textId="0C831A9D" w:rsidR="008550E4" w:rsidRDefault="004C42B6">
    <w:pPr>
      <w:pStyle w:val="Header"/>
    </w:pPr>
    <w:r>
      <w:rPr>
        <w:noProof/>
      </w:rPr>
      <w:pict w14:anchorId="38AE2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3235" o:spid="_x0000_s1035" type="#_x0000_t136" style="position:absolute;margin-left:0;margin-top:0;width:396pt;height:128.4pt;z-index:-251655168;mso-position-horizontal:center;mso-position-horizontal-relative:margin;mso-position-vertical:center;mso-position-vertical-relative:margin" o:allowincell="f" fillcolor="#bfbfbf [2412]" stroked="f">
          <v:textpath style="font-family:&quot;Calibri&quot;;font-size:105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62B7" w14:textId="773D8EC8" w:rsidR="008550E4" w:rsidRDefault="004C42B6">
    <w:pPr>
      <w:pStyle w:val="Header"/>
    </w:pPr>
    <w:r>
      <w:rPr>
        <w:noProof/>
      </w:rPr>
      <w:pict w14:anchorId="4B362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3236" o:spid="_x0000_s1036" type="#_x0000_t136" style="position:absolute;margin-left:0;margin-top:0;width:396pt;height:128.4pt;z-index:-251653120;mso-position-horizontal:center;mso-position-horizontal-relative:margin;mso-position-vertical:center;mso-position-vertical-relative:margin" o:allowincell="f" fillcolor="#bfbfbf [2412]" stroked="f">
          <v:textpath style="font-family:&quot;Calibri&quot;;font-size:105pt" string="EXE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B798" w14:textId="6B1A1C97" w:rsidR="008550E4" w:rsidRDefault="004C42B6">
    <w:pPr>
      <w:pStyle w:val="Header"/>
    </w:pPr>
    <w:r>
      <w:rPr>
        <w:noProof/>
      </w:rPr>
      <w:pict w14:anchorId="5A9A4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3234" o:spid="_x0000_s1034" type="#_x0000_t136" style="position:absolute;margin-left:0;margin-top:0;width:396pt;height:128.4pt;z-index:-251657216;mso-position-horizontal:center;mso-position-horizontal-relative:margin;mso-position-vertical:center;mso-position-vertical-relative:margin" o:allowincell="f" fillcolor="#bfbfbf [2412]" stroked="f">
          <v:textpath style="font-family:&quot;Calibri&quot;;font-size:105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2019"/>
    <w:multiLevelType w:val="hybridMultilevel"/>
    <w:tmpl w:val="2222EAAC"/>
    <w:lvl w:ilvl="0" w:tplc="45E842C8">
      <w:numFmt w:val="bullet"/>
      <w:lvlText w:val=""/>
      <w:lvlJc w:val="left"/>
      <w:pPr>
        <w:ind w:left="1797" w:hanging="361"/>
      </w:pPr>
      <w:rPr>
        <w:rFonts w:ascii="Wingdings" w:eastAsia="Wingdings" w:hAnsi="Wingdings" w:cs="Wingdings" w:hint="default"/>
        <w:b w:val="0"/>
        <w:bCs w:val="0"/>
        <w:i w:val="0"/>
        <w:iCs w:val="0"/>
        <w:color w:val="58595B"/>
        <w:w w:val="100"/>
        <w:sz w:val="28"/>
        <w:szCs w:val="28"/>
        <w:lang w:val="en-US" w:eastAsia="en-US" w:bidi="ar-SA"/>
      </w:rPr>
    </w:lvl>
    <w:lvl w:ilvl="1" w:tplc="591E2FC2">
      <w:numFmt w:val="bullet"/>
      <w:lvlText w:val="•"/>
      <w:lvlJc w:val="left"/>
      <w:pPr>
        <w:ind w:left="2844" w:hanging="361"/>
      </w:pPr>
      <w:rPr>
        <w:rFonts w:hint="default"/>
        <w:lang w:val="en-US" w:eastAsia="en-US" w:bidi="ar-SA"/>
      </w:rPr>
    </w:lvl>
    <w:lvl w:ilvl="2" w:tplc="8034BEA2">
      <w:numFmt w:val="bullet"/>
      <w:lvlText w:val="•"/>
      <w:lvlJc w:val="left"/>
      <w:pPr>
        <w:ind w:left="3888" w:hanging="361"/>
      </w:pPr>
      <w:rPr>
        <w:rFonts w:hint="default"/>
        <w:lang w:val="en-US" w:eastAsia="en-US" w:bidi="ar-SA"/>
      </w:rPr>
    </w:lvl>
    <w:lvl w:ilvl="3" w:tplc="DA08EBA0">
      <w:numFmt w:val="bullet"/>
      <w:lvlText w:val="•"/>
      <w:lvlJc w:val="left"/>
      <w:pPr>
        <w:ind w:left="4932" w:hanging="361"/>
      </w:pPr>
      <w:rPr>
        <w:rFonts w:hint="default"/>
        <w:lang w:val="en-US" w:eastAsia="en-US" w:bidi="ar-SA"/>
      </w:rPr>
    </w:lvl>
    <w:lvl w:ilvl="4" w:tplc="DA70AD7C">
      <w:numFmt w:val="bullet"/>
      <w:lvlText w:val="•"/>
      <w:lvlJc w:val="left"/>
      <w:pPr>
        <w:ind w:left="5976" w:hanging="361"/>
      </w:pPr>
      <w:rPr>
        <w:rFonts w:hint="default"/>
        <w:lang w:val="en-US" w:eastAsia="en-US" w:bidi="ar-SA"/>
      </w:rPr>
    </w:lvl>
    <w:lvl w:ilvl="5" w:tplc="0FA22FEE">
      <w:numFmt w:val="bullet"/>
      <w:lvlText w:val="•"/>
      <w:lvlJc w:val="left"/>
      <w:pPr>
        <w:ind w:left="7020" w:hanging="361"/>
      </w:pPr>
      <w:rPr>
        <w:rFonts w:hint="default"/>
        <w:lang w:val="en-US" w:eastAsia="en-US" w:bidi="ar-SA"/>
      </w:rPr>
    </w:lvl>
    <w:lvl w:ilvl="6" w:tplc="27BCBE62">
      <w:numFmt w:val="bullet"/>
      <w:lvlText w:val="•"/>
      <w:lvlJc w:val="left"/>
      <w:pPr>
        <w:ind w:left="8064" w:hanging="361"/>
      </w:pPr>
      <w:rPr>
        <w:rFonts w:hint="default"/>
        <w:lang w:val="en-US" w:eastAsia="en-US" w:bidi="ar-SA"/>
      </w:rPr>
    </w:lvl>
    <w:lvl w:ilvl="7" w:tplc="2A2ADD9A">
      <w:numFmt w:val="bullet"/>
      <w:lvlText w:val="•"/>
      <w:lvlJc w:val="left"/>
      <w:pPr>
        <w:ind w:left="9108" w:hanging="361"/>
      </w:pPr>
      <w:rPr>
        <w:rFonts w:hint="default"/>
        <w:lang w:val="en-US" w:eastAsia="en-US" w:bidi="ar-SA"/>
      </w:rPr>
    </w:lvl>
    <w:lvl w:ilvl="8" w:tplc="DB26D69C">
      <w:numFmt w:val="bullet"/>
      <w:lvlText w:val="•"/>
      <w:lvlJc w:val="left"/>
      <w:pPr>
        <w:ind w:left="10152" w:hanging="361"/>
      </w:pPr>
      <w:rPr>
        <w:rFonts w:hint="default"/>
        <w:lang w:val="en-US" w:eastAsia="en-US" w:bidi="ar-SA"/>
      </w:rPr>
    </w:lvl>
  </w:abstractNum>
  <w:num w:numId="1" w16cid:durableId="124421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24"/>
    <w:rsid w:val="000D77A3"/>
    <w:rsid w:val="000E572A"/>
    <w:rsid w:val="001552BF"/>
    <w:rsid w:val="001E535A"/>
    <w:rsid w:val="00246B5D"/>
    <w:rsid w:val="0025049E"/>
    <w:rsid w:val="00327309"/>
    <w:rsid w:val="003B4CF0"/>
    <w:rsid w:val="004A3C64"/>
    <w:rsid w:val="004B03BE"/>
    <w:rsid w:val="004C42B6"/>
    <w:rsid w:val="004F63B8"/>
    <w:rsid w:val="0059508D"/>
    <w:rsid w:val="005C17E2"/>
    <w:rsid w:val="0066271B"/>
    <w:rsid w:val="006A61B7"/>
    <w:rsid w:val="006F13F2"/>
    <w:rsid w:val="00802878"/>
    <w:rsid w:val="008550E4"/>
    <w:rsid w:val="00892A56"/>
    <w:rsid w:val="00B86124"/>
    <w:rsid w:val="00B94547"/>
    <w:rsid w:val="00BA244E"/>
    <w:rsid w:val="00BD7633"/>
    <w:rsid w:val="00C407D9"/>
    <w:rsid w:val="00C70457"/>
    <w:rsid w:val="00C77650"/>
    <w:rsid w:val="00CF0098"/>
    <w:rsid w:val="00D06D18"/>
    <w:rsid w:val="00D41A60"/>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C807"/>
  <w15:chartTrackingRefBased/>
  <w15:docId w15:val="{D9CCA3D4-1FAE-43C1-A22D-BE14AAFB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E4"/>
  </w:style>
  <w:style w:type="paragraph" w:styleId="Footer">
    <w:name w:val="footer"/>
    <w:basedOn w:val="Normal"/>
    <w:link w:val="FooterChar"/>
    <w:uiPriority w:val="99"/>
    <w:unhideWhenUsed/>
    <w:rsid w:val="0085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E4"/>
  </w:style>
  <w:style w:type="paragraph" w:styleId="Revision">
    <w:name w:val="Revision"/>
    <w:hidden/>
    <w:uiPriority w:val="99"/>
    <w:semiHidden/>
    <w:rsid w:val="00D41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70263e2d73553929a2416305b3964a6c">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9e19bfef34c22b0e509fbba024dd6551"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FC5F3-F86D-4277-927A-30131B8AA3EA}"/>
</file>

<file path=customXml/itemProps2.xml><?xml version="1.0" encoding="utf-8"?>
<ds:datastoreItem xmlns:ds="http://schemas.openxmlformats.org/officeDocument/2006/customXml" ds:itemID="{569FE02C-C413-45F2-A478-A77B51FD816F}"/>
</file>

<file path=customXml/itemProps3.xml><?xml version="1.0" encoding="utf-8"?>
<ds:datastoreItem xmlns:ds="http://schemas.openxmlformats.org/officeDocument/2006/customXml" ds:itemID="{3E942027-5F9F-40FC-A0C8-56CE4202099E}"/>
</file>

<file path=docProps/app.xml><?xml version="1.0" encoding="utf-8"?>
<Properties xmlns="http://schemas.openxmlformats.org/officeDocument/2006/extended-properties" xmlns:vt="http://schemas.openxmlformats.org/officeDocument/2006/docPropsVTypes">
  <Template>Normal.dotm</Template>
  <TotalTime>71</TotalTime>
  <Pages>1</Pages>
  <Words>316</Words>
  <Characters>1634</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Pascale - Parenty Reitmeier</cp:lastModifiedBy>
  <cp:revision>10</cp:revision>
  <dcterms:created xsi:type="dcterms:W3CDTF">2022-09-26T16:33:00Z</dcterms:created>
  <dcterms:modified xsi:type="dcterms:W3CDTF">2026-01-22T14:55:00Z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